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C5DD" w14:textId="4D6EBEAC" w:rsidR="00B47479" w:rsidRDefault="00846497" w:rsidP="00B474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E4EE75" wp14:editId="3AFE819B">
                <wp:simplePos x="0" y="0"/>
                <wp:positionH relativeFrom="page">
                  <wp:posOffset>962025</wp:posOffset>
                </wp:positionH>
                <wp:positionV relativeFrom="page">
                  <wp:posOffset>1463040</wp:posOffset>
                </wp:positionV>
                <wp:extent cx="5586730" cy="1847850"/>
                <wp:effectExtent l="0" t="0" r="13970" b="0"/>
                <wp:wrapThrough wrapText="bothSides">
                  <wp:wrapPolygon edited="0">
                    <wp:start x="0" y="0"/>
                    <wp:lineTo x="0" y="21377"/>
                    <wp:lineTo x="21580" y="21377"/>
                    <wp:lineTo x="21580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93B2" w14:textId="65645F48" w:rsidR="005F2E18" w:rsidRPr="0030326E" w:rsidRDefault="005F2E18" w:rsidP="005F2E18">
                            <w:pPr>
                              <w:spacing w:before="48" w:line="187" w:lineRule="auto"/>
                              <w:ind w:left="423" w:right="18" w:firstLine="7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mallCaps/>
                                <w:sz w:val="67"/>
                                <w:szCs w:val="67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 xml:space="preserve">INFORME SOBRE LA LIQUIDACIÓN PROVISIONAL </w:t>
                            </w:r>
                            <w:r w:rsidR="00A30D80"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/201</w:t>
                            </w:r>
                            <w:r w:rsidR="00107DE8"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i/>
                                <w:smallCaps/>
                                <w:color w:val="112269"/>
                                <w:spacing w:val="-1"/>
                                <w:sz w:val="67"/>
                                <w:szCs w:val="67"/>
                              </w:rPr>
                              <w:t xml:space="preserve"> DEL GAS NATURAL</w:t>
                            </w:r>
                          </w:p>
                          <w:p w14:paraId="5A7FAB26" w14:textId="5417C888" w:rsidR="00A32517" w:rsidRPr="0030326E" w:rsidRDefault="00A32517" w:rsidP="008A08C3">
                            <w:pPr>
                              <w:spacing w:before="48" w:line="187" w:lineRule="auto"/>
                              <w:ind w:left="423" w:right="18" w:firstLine="78"/>
                              <w:jc w:val="right"/>
                              <w:rPr>
                                <w:rFonts w:ascii="Calibri" w:eastAsia="Calibri" w:hAnsi="Calibri" w:cs="Calibri"/>
                                <w:i/>
                                <w:smallCaps/>
                                <w:sz w:val="67"/>
                                <w:szCs w:val="6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EE7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75pt;margin-top:115.2pt;width:439.9pt;height:14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" filled="f" stroked="f">
                <v:textbox inset="0,0,0,0">
                  <w:txbxContent>
                    <w:p w14:paraId="1C9C93B2" w14:textId="65645F48" w:rsidR="005F2E18" w:rsidRPr="0030326E" w:rsidRDefault="005F2E18" w:rsidP="005F2E18">
                      <w:pPr>
                        <w:spacing w:before="48" w:line="187" w:lineRule="auto"/>
                        <w:ind w:left="423" w:right="18" w:firstLine="78"/>
                        <w:jc w:val="center"/>
                        <w:rPr>
                          <w:rFonts w:ascii="Calibri" w:eastAsia="Calibri" w:hAnsi="Calibri" w:cs="Calibri"/>
                          <w:i/>
                          <w:smallCaps/>
                          <w:sz w:val="67"/>
                          <w:szCs w:val="67"/>
                        </w:rPr>
                      </w:pP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 xml:space="preserve">INFORME SOBRE LA LIQUIDACIÓN PROVISIONAL </w:t>
                      </w:r>
                      <w:r w:rsidR="00A30D80"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2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/201</w:t>
                      </w:r>
                      <w:r w:rsidR="00107DE8"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>8</w:t>
                      </w:r>
                      <w:r>
                        <w:rPr>
                          <w:rFonts w:ascii="Calibri" w:hAnsi="Calibri"/>
                          <w:i/>
                          <w:smallCaps/>
                          <w:color w:val="112269"/>
                          <w:spacing w:val="-1"/>
                          <w:sz w:val="67"/>
                          <w:szCs w:val="67"/>
                        </w:rPr>
                        <w:t xml:space="preserve"> DEL GAS NATURAL</w:t>
                      </w:r>
                    </w:p>
                    <w:p w14:paraId="5A7FAB26" w14:textId="5417C888" w:rsidR="00A32517" w:rsidRPr="0030326E" w:rsidRDefault="00A32517" w:rsidP="008A08C3">
                      <w:pPr>
                        <w:spacing w:before="48" w:line="187" w:lineRule="auto"/>
                        <w:ind w:left="423" w:right="18" w:firstLine="78"/>
                        <w:jc w:val="right"/>
                        <w:rPr>
                          <w:rFonts w:ascii="Calibri" w:eastAsia="Calibri" w:hAnsi="Calibri" w:cs="Calibri"/>
                          <w:i/>
                          <w:smallCaps/>
                          <w:sz w:val="67"/>
                          <w:szCs w:val="67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5379A21" w14:textId="77777777" w:rsidR="00B47479" w:rsidRDefault="00B47479" w:rsidP="00B47479"/>
    <w:p w14:paraId="7120E4F0" w14:textId="77777777" w:rsidR="00B47479" w:rsidRDefault="00B47479" w:rsidP="00B47479"/>
    <w:p w14:paraId="15FBBC42" w14:textId="77777777" w:rsidR="00B47479" w:rsidRDefault="00B47479" w:rsidP="00B47479"/>
    <w:p w14:paraId="7571E732" w14:textId="77777777" w:rsidR="00B47479" w:rsidRDefault="00B47479" w:rsidP="00B47479"/>
    <w:p w14:paraId="2DBF6459" w14:textId="77777777" w:rsidR="00B47479" w:rsidRDefault="00B47479" w:rsidP="00B47479"/>
    <w:p w14:paraId="2279757D" w14:textId="77777777" w:rsidR="00B47479" w:rsidRDefault="00B47479" w:rsidP="00B47479"/>
    <w:p w14:paraId="289CF701" w14:textId="77777777" w:rsidR="00B47479" w:rsidRDefault="00B47479" w:rsidP="00B47479"/>
    <w:p w14:paraId="28BCBCDA" w14:textId="77777777" w:rsidR="00B47479" w:rsidRDefault="00B47479" w:rsidP="00B47479"/>
    <w:p w14:paraId="6BA5C8B7" w14:textId="77777777" w:rsidR="00B47479" w:rsidRDefault="00B47479" w:rsidP="00B47479"/>
    <w:p w14:paraId="5212064C" w14:textId="5F33D981" w:rsidR="00B47479" w:rsidRDefault="00B47479" w:rsidP="00B47479"/>
    <w:p w14:paraId="18886827" w14:textId="5B902839" w:rsidR="00B47479" w:rsidRDefault="00B47479" w:rsidP="00B47479"/>
    <w:p w14:paraId="44107224" w14:textId="661043B0" w:rsidR="00B47479" w:rsidRDefault="00B47479" w:rsidP="00B47479"/>
    <w:p w14:paraId="055AAFB6" w14:textId="44BF75C9" w:rsidR="002443E6" w:rsidRDefault="002443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183" behindDoc="1" locked="0" layoutInCell="1" allowOverlap="1" wp14:anchorId="1F2C8C8E" wp14:editId="44119351">
            <wp:simplePos x="0" y="0"/>
            <wp:positionH relativeFrom="margin">
              <wp:posOffset>2561590</wp:posOffset>
            </wp:positionH>
            <wp:positionV relativeFrom="margin">
              <wp:posOffset>2460625</wp:posOffset>
            </wp:positionV>
            <wp:extent cx="3359150" cy="436943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5:CEOE:Publicaciones finales:Publicaciones Internas:pdf:jpg:ceoe_publicaciones_internas_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8" t="12205" r="10558" b="46958"/>
                    <a:stretch/>
                  </pic:blipFill>
                  <pic:spPr bwMode="auto">
                    <a:xfrm>
                      <a:off x="0" y="0"/>
                      <a:ext cx="335915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9DFA" w14:textId="586DFABA" w:rsidR="00B47479" w:rsidRDefault="00804DF0">
      <w:r>
        <w:rPr>
          <w:noProof/>
          <w:color w:val="1F497D"/>
        </w:rPr>
        <w:drawing>
          <wp:anchor distT="0" distB="0" distL="114300" distR="114300" simplePos="0" relativeHeight="251682816" behindDoc="0" locked="0" layoutInCell="1" allowOverlap="1" wp14:anchorId="7F7E725D" wp14:editId="32D66D5D">
            <wp:simplePos x="0" y="0"/>
            <wp:positionH relativeFrom="column">
              <wp:posOffset>-221615</wp:posOffset>
            </wp:positionH>
            <wp:positionV relativeFrom="paragraph">
              <wp:posOffset>2665730</wp:posOffset>
            </wp:positionV>
            <wp:extent cx="1366520" cy="337185"/>
            <wp:effectExtent l="0" t="0" r="5080" b="5715"/>
            <wp:wrapSquare wrapText="bothSides"/>
            <wp:docPr id="12" name="Imagen 12" descr="cid:image004.jpg@01D39B43.98251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4.jpg@01D39B43.98251E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C3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90D198" wp14:editId="3E42C2BB">
                <wp:simplePos x="0" y="0"/>
                <wp:positionH relativeFrom="page">
                  <wp:posOffset>4023360</wp:posOffset>
                </wp:positionH>
                <wp:positionV relativeFrom="page">
                  <wp:posOffset>5852160</wp:posOffset>
                </wp:positionV>
                <wp:extent cx="2487930" cy="844550"/>
                <wp:effectExtent l="0" t="0" r="7620" b="12700"/>
                <wp:wrapThrough wrapText="bothSides">
                  <wp:wrapPolygon edited="0">
                    <wp:start x="0" y="0"/>
                    <wp:lineTo x="0" y="21438"/>
                    <wp:lineTo x="21501" y="21438"/>
                    <wp:lineTo x="21501" y="0"/>
                    <wp:lineTo x="0" y="0"/>
                  </wp:wrapPolygon>
                </wp:wrapThrough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0AC9F" w14:textId="3A5FFF98" w:rsidR="00A32517" w:rsidRPr="00A644BE" w:rsidRDefault="00A32517" w:rsidP="008A4DA0">
                            <w:pPr>
                              <w:spacing w:line="726" w:lineRule="exact"/>
                              <w:ind w:left="20"/>
                              <w:jc w:val="right"/>
                              <w:rPr>
                                <w:rFonts w:ascii="Calibri" w:eastAsia="Calibri" w:hAnsi="Calibri" w:cs="Calibri"/>
                                <w:smallCaps/>
                                <w:sz w:val="67"/>
                                <w:szCs w:val="67"/>
                              </w:rPr>
                            </w:pPr>
                            <w:r w:rsidRPr="00A644BE">
                              <w:rPr>
                                <w:rFonts w:ascii="Calibri" w:hAnsi="Calibri"/>
                                <w:smallCaps/>
                                <w:color w:val="112269"/>
                                <w:spacing w:val="-3"/>
                                <w:sz w:val="67"/>
                                <w:szCs w:val="67"/>
                              </w:rPr>
                              <w:t>Nota</w:t>
                            </w:r>
                            <w:r w:rsidR="00E53EC3">
                              <w:rPr>
                                <w:rFonts w:ascii="Calibri" w:hAnsi="Calibri"/>
                                <w:smallCaps/>
                                <w:color w:val="112269"/>
                                <w:spacing w:val="-3"/>
                                <w:sz w:val="67"/>
                                <w:szCs w:val="67"/>
                              </w:rPr>
                              <w:t xml:space="preserve"> Resumen</w:t>
                            </w:r>
                            <w:r w:rsidRPr="00A644BE">
                              <w:rPr>
                                <w:rFonts w:ascii="Calibri" w:hAnsi="Calibri"/>
                                <w:smallCaps/>
                                <w:color w:val="112269"/>
                                <w:spacing w:val="30"/>
                                <w:sz w:val="67"/>
                                <w:szCs w:val="67"/>
                              </w:rPr>
                              <w:t xml:space="preserve"> </w:t>
                            </w:r>
                          </w:p>
                          <w:p w14:paraId="5DEB131F" w14:textId="1B9F8415" w:rsidR="00A32517" w:rsidRPr="002443E6" w:rsidRDefault="00154B5E" w:rsidP="00846497">
                            <w:pPr>
                              <w:contextualSpacing/>
                              <w:jc w:val="right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4</w:t>
                            </w:r>
                            <w:r w:rsidR="00A952D8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mayo</w:t>
                            </w:r>
                            <w:r w:rsidR="00804DF0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53EC3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de 201</w:t>
                            </w:r>
                            <w:r w:rsidR="00804DF0">
                              <w:rPr>
                                <w:rFonts w:asciiTheme="majorHAnsi" w:hAnsiTheme="majorHAnsi"/>
                                <w:i/>
                                <w:color w:val="DF4E13"/>
                                <w:sz w:val="30"/>
                                <w:szCs w:val="30"/>
                              </w:rPr>
                              <w:t>8</w:t>
                            </w:r>
                            <w:r w:rsidR="00A32517" w:rsidRPr="002443E6">
                              <w:rPr>
                                <w:i/>
                                <w:color w:val="AA1A3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D198" id="Cuadro de texto 26" o:spid="_x0000_s1027" type="#_x0000_t202" style="position:absolute;margin-left:316.8pt;margin-top:460.8pt;width:195.9pt;height:66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" filled="f" stroked="f">
                <v:textbox inset="0,0,0,0">
                  <w:txbxContent>
                    <w:p w14:paraId="3D00AC9F" w14:textId="3A5FFF98" w:rsidR="00A32517" w:rsidRPr="00A644BE" w:rsidRDefault="00A32517" w:rsidP="008A4DA0">
                      <w:pPr>
                        <w:spacing w:line="726" w:lineRule="exact"/>
                        <w:ind w:left="20"/>
                        <w:jc w:val="right"/>
                        <w:rPr>
                          <w:rFonts w:ascii="Calibri" w:eastAsia="Calibri" w:hAnsi="Calibri" w:cs="Calibri"/>
                          <w:smallCaps/>
                          <w:sz w:val="67"/>
                          <w:szCs w:val="67"/>
                        </w:rPr>
                      </w:pPr>
                      <w:r w:rsidRPr="00A644BE">
                        <w:rPr>
                          <w:rFonts w:ascii="Calibri" w:hAnsi="Calibri"/>
                          <w:smallCaps/>
                          <w:color w:val="112269"/>
                          <w:spacing w:val="-3"/>
                          <w:sz w:val="67"/>
                          <w:szCs w:val="67"/>
                        </w:rPr>
                        <w:t>Nota</w:t>
                      </w:r>
                      <w:r w:rsidR="00E53EC3">
                        <w:rPr>
                          <w:rFonts w:ascii="Calibri" w:hAnsi="Calibri"/>
                          <w:smallCaps/>
                          <w:color w:val="112269"/>
                          <w:spacing w:val="-3"/>
                          <w:sz w:val="67"/>
                          <w:szCs w:val="67"/>
                        </w:rPr>
                        <w:t xml:space="preserve"> Resumen</w:t>
                      </w:r>
                      <w:r w:rsidRPr="00A644BE">
                        <w:rPr>
                          <w:rFonts w:ascii="Calibri" w:hAnsi="Calibri"/>
                          <w:smallCaps/>
                          <w:color w:val="112269"/>
                          <w:spacing w:val="30"/>
                          <w:sz w:val="67"/>
                          <w:szCs w:val="67"/>
                        </w:rPr>
                        <w:t xml:space="preserve"> </w:t>
                      </w:r>
                    </w:p>
                    <w:p w14:paraId="5DEB131F" w14:textId="1B9F8415" w:rsidR="00A32517" w:rsidRPr="002443E6" w:rsidRDefault="00154B5E" w:rsidP="00846497">
                      <w:pPr>
                        <w:contextualSpacing/>
                        <w:jc w:val="right"/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4</w:t>
                      </w:r>
                      <w:r w:rsidR="00A952D8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 xml:space="preserve"> de </w:t>
                      </w:r>
                      <w:r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mayo</w:t>
                      </w:r>
                      <w:r w:rsidR="00804DF0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 xml:space="preserve"> </w:t>
                      </w:r>
                      <w:r w:rsidR="00E53EC3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de 201</w:t>
                      </w:r>
                      <w:r w:rsidR="00804DF0">
                        <w:rPr>
                          <w:rFonts w:asciiTheme="majorHAnsi" w:hAnsiTheme="majorHAnsi"/>
                          <w:i/>
                          <w:color w:val="DF4E13"/>
                          <w:sz w:val="30"/>
                          <w:szCs w:val="30"/>
                        </w:rPr>
                        <w:t>8</w:t>
                      </w:r>
                      <w:r w:rsidR="00A32517" w:rsidRPr="002443E6">
                        <w:rPr>
                          <w:i/>
                          <w:color w:val="AA1A3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53EC3" w:rsidRPr="002443E6"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3765A" wp14:editId="3315C24F">
                <wp:simplePos x="0" y="0"/>
                <wp:positionH relativeFrom="column">
                  <wp:posOffset>582295</wp:posOffset>
                </wp:positionH>
                <wp:positionV relativeFrom="paragraph">
                  <wp:posOffset>3182520</wp:posOffset>
                </wp:positionV>
                <wp:extent cx="5417185" cy="34861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CDC0" w14:textId="7CE6CCE6" w:rsidR="002443E6" w:rsidRPr="00556759" w:rsidRDefault="002443E6" w:rsidP="002443E6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>Departamento de Asuntos</w:t>
                            </w:r>
                            <w:r w:rsidR="00556759"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56759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2"/>
                                <w:szCs w:val="28"/>
                              </w:rPr>
                              <w:t>Económicos y Europeos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3765A" id="Cuadro de texto 2" o:spid="_x0000_s1028" type="#_x0000_t202" style="position:absolute;margin-left:45.85pt;margin-top:250.6pt;width:426.55pt;height:27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" filled="f" stroked="f">
                <v:textbox style="mso-fit-shape-to-text:t">
                  <w:txbxContent>
                    <w:p w14:paraId="01FBCDC0" w14:textId="7CE6CCE6" w:rsidR="002443E6" w:rsidRPr="00556759" w:rsidRDefault="002443E6" w:rsidP="002443E6">
                      <w:pPr>
                        <w:jc w:val="right"/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</w:pPr>
                      <w:r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>Departamento de Asuntos</w:t>
                      </w:r>
                      <w:r w:rsidR="00556759"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 xml:space="preserve"> </w:t>
                      </w:r>
                      <w:r w:rsidRPr="00556759">
                        <w:rPr>
                          <w:rFonts w:asciiTheme="majorHAnsi" w:hAnsiTheme="majorHAnsi"/>
                          <w:i/>
                          <w:color w:val="002060"/>
                          <w:sz w:val="32"/>
                          <w:szCs w:val="28"/>
                        </w:rPr>
                        <w:t>Económicos y Europeos</w:t>
                      </w:r>
                    </w:p>
                  </w:txbxContent>
                </v:textbox>
              </v:shape>
            </w:pict>
          </mc:Fallback>
        </mc:AlternateContent>
      </w:r>
      <w:r w:rsidR="00B47479">
        <w:br w:type="page"/>
      </w:r>
    </w:p>
    <w:p w14:paraId="6F710609" w14:textId="428ED97A" w:rsidR="00E53EC3" w:rsidRPr="00154B5E" w:rsidRDefault="00A5017E" w:rsidP="00E53EC3">
      <w:pPr>
        <w:pStyle w:val="Prrafodelista"/>
        <w:ind w:left="0"/>
        <w:jc w:val="both"/>
        <w:rPr>
          <w:rFonts w:asciiTheme="majorHAnsi" w:hAnsiTheme="majorHAnsi"/>
          <w:sz w:val="24"/>
          <w:szCs w:val="24"/>
        </w:rPr>
      </w:pPr>
      <w:r w:rsidRPr="00154B5E">
        <w:rPr>
          <w:rFonts w:asciiTheme="majorHAnsi" w:hAnsiTheme="majorHAnsi"/>
          <w:sz w:val="24"/>
          <w:szCs w:val="24"/>
        </w:rPr>
        <w:lastRenderedPageBreak/>
        <w:t>La CNMC ha publicado</w:t>
      </w:r>
      <w:r w:rsidR="00E53EC3" w:rsidRPr="00154B5E">
        <w:rPr>
          <w:rFonts w:asciiTheme="majorHAnsi" w:hAnsiTheme="majorHAnsi"/>
          <w:sz w:val="24"/>
          <w:szCs w:val="24"/>
        </w:rPr>
        <w:t xml:space="preserve"> la liquidación provisional </w:t>
      </w:r>
      <w:r w:rsidR="00A30D80" w:rsidRPr="00154B5E">
        <w:rPr>
          <w:rFonts w:asciiTheme="majorHAnsi" w:hAnsiTheme="majorHAnsi"/>
          <w:sz w:val="24"/>
          <w:szCs w:val="24"/>
        </w:rPr>
        <w:t>2</w:t>
      </w:r>
      <w:r w:rsidR="00107DE8" w:rsidRPr="00154B5E">
        <w:rPr>
          <w:rFonts w:asciiTheme="majorHAnsi" w:hAnsiTheme="majorHAnsi"/>
          <w:sz w:val="24"/>
          <w:szCs w:val="24"/>
        </w:rPr>
        <w:t xml:space="preserve"> </w:t>
      </w:r>
      <w:r w:rsidR="0039148F" w:rsidRPr="00154B5E">
        <w:rPr>
          <w:rFonts w:asciiTheme="majorHAnsi" w:hAnsiTheme="majorHAnsi"/>
          <w:sz w:val="24"/>
          <w:szCs w:val="24"/>
        </w:rPr>
        <w:t xml:space="preserve">del sector del gas natural </w:t>
      </w:r>
      <w:r w:rsidR="00E53EC3" w:rsidRPr="00154B5E">
        <w:rPr>
          <w:rFonts w:asciiTheme="majorHAnsi" w:hAnsiTheme="majorHAnsi"/>
          <w:sz w:val="24"/>
          <w:szCs w:val="24"/>
        </w:rPr>
        <w:t xml:space="preserve">del año </w:t>
      </w:r>
      <w:r w:rsidR="00107DE8" w:rsidRPr="00154B5E">
        <w:rPr>
          <w:rFonts w:asciiTheme="majorHAnsi" w:hAnsiTheme="majorHAnsi"/>
          <w:sz w:val="24"/>
          <w:szCs w:val="24"/>
        </w:rPr>
        <w:t>2018</w:t>
      </w:r>
      <w:r w:rsidR="00CA08BD" w:rsidRPr="00154B5E">
        <w:rPr>
          <w:rFonts w:asciiTheme="majorHAnsi" w:hAnsiTheme="majorHAnsi"/>
          <w:sz w:val="24"/>
          <w:szCs w:val="24"/>
        </w:rPr>
        <w:t>.</w:t>
      </w:r>
      <w:r w:rsidR="00E53EC3" w:rsidRPr="00154B5E">
        <w:rPr>
          <w:rFonts w:asciiTheme="majorHAnsi" w:hAnsiTheme="majorHAnsi"/>
          <w:sz w:val="24"/>
          <w:szCs w:val="24"/>
        </w:rPr>
        <w:t xml:space="preserve"> A continuación</w:t>
      </w:r>
      <w:r w:rsidR="00154B5E">
        <w:rPr>
          <w:rFonts w:asciiTheme="majorHAnsi" w:hAnsiTheme="majorHAnsi"/>
          <w:sz w:val="24"/>
          <w:szCs w:val="24"/>
        </w:rPr>
        <w:t>,</w:t>
      </w:r>
      <w:r w:rsidR="00E53EC3" w:rsidRPr="00154B5E">
        <w:rPr>
          <w:rFonts w:asciiTheme="majorHAnsi" w:hAnsiTheme="majorHAnsi"/>
          <w:sz w:val="24"/>
          <w:szCs w:val="24"/>
        </w:rPr>
        <w:t xml:space="preserve"> se resumen los aspectos más destacados:</w:t>
      </w:r>
    </w:p>
    <w:p w14:paraId="5E017EEE" w14:textId="77777777" w:rsidR="00E53EC3" w:rsidRPr="00154B5E" w:rsidRDefault="00E53EC3" w:rsidP="00FF3889">
      <w:pPr>
        <w:jc w:val="both"/>
        <w:rPr>
          <w:rFonts w:asciiTheme="majorHAnsi" w:hAnsiTheme="majorHAnsi"/>
          <w:color w:val="FF0000"/>
        </w:rPr>
      </w:pPr>
    </w:p>
    <w:p w14:paraId="7578C017" w14:textId="77777777" w:rsidR="00E67AEA" w:rsidRPr="00154B5E" w:rsidRDefault="00E67AEA" w:rsidP="00E67AEA">
      <w:pPr>
        <w:pStyle w:val="Prrafodelista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21DD313A" w14:textId="5DBC565E" w:rsidR="009868A2" w:rsidRPr="00154B5E" w:rsidRDefault="009868A2" w:rsidP="00E67AEA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154B5E">
        <w:rPr>
          <w:rFonts w:asciiTheme="majorHAnsi" w:hAnsiTheme="majorHAnsi" w:cs="Arial"/>
          <w:sz w:val="24"/>
          <w:szCs w:val="24"/>
        </w:rPr>
        <w:t xml:space="preserve">Los 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ingresos declarados ascendieron a 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>375</w:t>
      </w:r>
      <w:r w:rsidR="00E67AEA" w:rsidRPr="00C444E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444E7">
        <w:rPr>
          <w:rFonts w:asciiTheme="majorHAnsi" w:hAnsiTheme="majorHAnsi" w:cs="Arial"/>
          <w:b/>
          <w:sz w:val="24"/>
          <w:szCs w:val="24"/>
        </w:rPr>
        <w:t>M€</w:t>
      </w:r>
      <w:r w:rsidRPr="00154B5E">
        <w:rPr>
          <w:rFonts w:asciiTheme="majorHAnsi" w:hAnsiTheme="majorHAnsi" w:cs="Arial"/>
          <w:sz w:val="24"/>
          <w:szCs w:val="24"/>
        </w:rPr>
        <w:t xml:space="preserve"> (</w:t>
      </w:r>
      <w:r w:rsidR="00A30D80" w:rsidRPr="00154B5E">
        <w:rPr>
          <w:rFonts w:asciiTheme="majorHAnsi" w:hAnsiTheme="majorHAnsi" w:cs="Arial"/>
          <w:sz w:val="24"/>
          <w:szCs w:val="24"/>
        </w:rPr>
        <w:t>10,8</w:t>
      </w:r>
      <w:r w:rsidRPr="00154B5E">
        <w:rPr>
          <w:rFonts w:asciiTheme="majorHAnsi" w:hAnsiTheme="majorHAnsi" w:cs="Arial"/>
          <w:sz w:val="24"/>
          <w:szCs w:val="24"/>
        </w:rPr>
        <w:t xml:space="preserve">% </w:t>
      </w:r>
      <w:r w:rsidR="00E67AEA" w:rsidRPr="00154B5E">
        <w:rPr>
          <w:rFonts w:asciiTheme="majorHAnsi" w:hAnsiTheme="majorHAnsi" w:cs="Arial"/>
          <w:sz w:val="24"/>
          <w:szCs w:val="24"/>
        </w:rPr>
        <w:t>inf</w:t>
      </w:r>
      <w:r w:rsidR="00092CD3" w:rsidRPr="00154B5E">
        <w:rPr>
          <w:rFonts w:asciiTheme="majorHAnsi" w:hAnsiTheme="majorHAnsi" w:cs="Arial"/>
          <w:sz w:val="24"/>
          <w:szCs w:val="24"/>
        </w:rPr>
        <w:t>erior</w:t>
      </w:r>
      <w:r w:rsidRPr="00154B5E">
        <w:rPr>
          <w:rFonts w:asciiTheme="majorHAnsi" w:hAnsiTheme="majorHAnsi" w:cs="Arial"/>
          <w:sz w:val="24"/>
          <w:szCs w:val="24"/>
        </w:rPr>
        <w:t xml:space="preserve"> con respecto al año anterior), </w:t>
      </w:r>
      <w:r w:rsidR="00E67AEA" w:rsidRPr="00154B5E">
        <w:rPr>
          <w:rFonts w:asciiTheme="majorHAnsi" w:hAnsiTheme="majorHAnsi" w:cs="Arial"/>
          <w:sz w:val="24"/>
          <w:szCs w:val="24"/>
        </w:rPr>
        <w:t>se produjo una modificación en la operativa de facturación mensual del término de conducción, realizando la facturación en el mes posterior a las lecturas en lugar de en el mismo mes de lectura, lo que conlleva un desfase de un mes en los datos respecto al año anterior.</w:t>
      </w:r>
    </w:p>
    <w:p w14:paraId="14D65429" w14:textId="77777777" w:rsidR="009868A2" w:rsidRPr="00154B5E" w:rsidRDefault="009868A2" w:rsidP="009868A2">
      <w:pPr>
        <w:pStyle w:val="Prrafodelista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03FEF938" w14:textId="099972D0" w:rsidR="00E67AEA" w:rsidRPr="00154B5E" w:rsidRDefault="009868A2" w:rsidP="003D045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154B5E">
        <w:rPr>
          <w:rFonts w:asciiTheme="majorHAnsi" w:hAnsiTheme="majorHAnsi" w:cs="Arial"/>
          <w:sz w:val="24"/>
          <w:szCs w:val="24"/>
        </w:rPr>
        <w:t xml:space="preserve">Los 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costes liquidables del sistema fueron de 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>7</w:t>
      </w:r>
      <w:r w:rsidR="00030D5F" w:rsidRPr="00C444E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444E7">
        <w:rPr>
          <w:rFonts w:asciiTheme="majorHAnsi" w:hAnsiTheme="majorHAnsi" w:cs="Arial"/>
          <w:b/>
          <w:sz w:val="24"/>
          <w:szCs w:val="24"/>
        </w:rPr>
        <w:t>M€</w:t>
      </w:r>
      <w:r w:rsidRPr="00154B5E">
        <w:rPr>
          <w:rFonts w:asciiTheme="majorHAnsi" w:hAnsiTheme="majorHAnsi" w:cs="Arial"/>
          <w:sz w:val="24"/>
          <w:szCs w:val="24"/>
        </w:rPr>
        <w:t xml:space="preserve">, un </w:t>
      </w:r>
      <w:r w:rsidR="00A30D80" w:rsidRPr="00154B5E">
        <w:rPr>
          <w:rFonts w:asciiTheme="majorHAnsi" w:hAnsiTheme="majorHAnsi" w:cs="Arial"/>
          <w:sz w:val="24"/>
          <w:szCs w:val="24"/>
        </w:rPr>
        <w:t>32,6</w:t>
      </w:r>
      <w:r w:rsidRPr="00154B5E">
        <w:rPr>
          <w:rFonts w:asciiTheme="majorHAnsi" w:hAnsiTheme="majorHAnsi" w:cs="Arial"/>
          <w:sz w:val="24"/>
          <w:szCs w:val="24"/>
        </w:rPr>
        <w:t xml:space="preserve">% </w:t>
      </w:r>
      <w:r w:rsidR="00A30D80" w:rsidRPr="00154B5E">
        <w:rPr>
          <w:rFonts w:asciiTheme="majorHAnsi" w:hAnsiTheme="majorHAnsi" w:cs="Arial"/>
          <w:sz w:val="24"/>
          <w:szCs w:val="24"/>
        </w:rPr>
        <w:t>inferio</w:t>
      </w:r>
      <w:r w:rsidRPr="00154B5E">
        <w:rPr>
          <w:rFonts w:asciiTheme="majorHAnsi" w:hAnsiTheme="majorHAnsi" w:cs="Arial"/>
          <w:sz w:val="24"/>
          <w:szCs w:val="24"/>
        </w:rPr>
        <w:t>res a los del mismo periodo del año anterior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. </w:t>
      </w:r>
      <w:r w:rsidR="00030D5F" w:rsidRPr="00154B5E">
        <w:rPr>
          <w:rFonts w:asciiTheme="majorHAnsi" w:hAnsiTheme="majorHAnsi" w:cs="Arial"/>
          <w:sz w:val="24"/>
          <w:szCs w:val="24"/>
        </w:rPr>
        <w:t>Adicionalmente se han l</w:t>
      </w:r>
      <w:r w:rsidR="00030D5F" w:rsidRPr="00C444E7">
        <w:rPr>
          <w:rFonts w:asciiTheme="majorHAnsi" w:hAnsiTheme="majorHAnsi" w:cs="Arial"/>
          <w:b/>
          <w:sz w:val="24"/>
          <w:szCs w:val="24"/>
        </w:rPr>
        <w:t xml:space="preserve">iquidado 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>2</w:t>
      </w:r>
      <w:r w:rsidR="00154B5E" w:rsidRPr="00C444E7">
        <w:rPr>
          <w:rFonts w:asciiTheme="majorHAnsi" w:hAnsiTheme="majorHAnsi" w:cs="Arial"/>
          <w:b/>
          <w:sz w:val="24"/>
          <w:szCs w:val="24"/>
        </w:rPr>
        <w:t>3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 M€, 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>de los artículos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 66 y 61.2 de la Ley 18/2014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 xml:space="preserve">, y se ha producido la devolución </w:t>
      </w:r>
      <w:r w:rsidR="00154B5E" w:rsidRPr="00C444E7">
        <w:rPr>
          <w:rFonts w:asciiTheme="majorHAnsi" w:hAnsiTheme="majorHAnsi" w:cs="Arial"/>
          <w:b/>
          <w:sz w:val="24"/>
          <w:szCs w:val="24"/>
        </w:rPr>
        <w:t xml:space="preserve">de 21 M€ 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 xml:space="preserve">por </w:t>
      </w:r>
      <w:r w:rsidR="00154B5E" w:rsidRPr="00C444E7">
        <w:rPr>
          <w:rFonts w:asciiTheme="majorHAnsi" w:hAnsiTheme="majorHAnsi" w:cs="Arial"/>
          <w:b/>
          <w:sz w:val="24"/>
          <w:szCs w:val="24"/>
        </w:rPr>
        <w:t xml:space="preserve">la </w:t>
      </w:r>
      <w:r w:rsidR="00A30D80" w:rsidRPr="00C444E7">
        <w:rPr>
          <w:rFonts w:asciiTheme="majorHAnsi" w:hAnsiTheme="majorHAnsi" w:cs="Arial"/>
          <w:b/>
          <w:sz w:val="24"/>
          <w:szCs w:val="24"/>
        </w:rPr>
        <w:t>ejecución de sentencias de la Audiencia Nacional</w:t>
      </w:r>
      <w:r w:rsidR="00154B5E">
        <w:rPr>
          <w:rFonts w:asciiTheme="majorHAnsi" w:hAnsiTheme="majorHAnsi" w:cs="Arial"/>
          <w:sz w:val="24"/>
          <w:szCs w:val="24"/>
        </w:rPr>
        <w:t xml:space="preserve">. 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En </w:t>
      </w:r>
      <w:r w:rsidR="003D0459" w:rsidRPr="00154B5E">
        <w:rPr>
          <w:rFonts w:asciiTheme="majorHAnsi" w:hAnsiTheme="majorHAnsi" w:cs="Arial"/>
          <w:sz w:val="24"/>
          <w:szCs w:val="24"/>
        </w:rPr>
        <w:t>total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 se tiene</w:t>
      </w:r>
      <w:r w:rsidR="003D0459" w:rsidRPr="00154B5E">
        <w:rPr>
          <w:rFonts w:asciiTheme="majorHAnsi" w:hAnsiTheme="majorHAnsi" w:cs="Arial"/>
          <w:sz w:val="24"/>
          <w:szCs w:val="24"/>
        </w:rPr>
        <w:t>n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 un</w:t>
      </w:r>
      <w:r w:rsidR="003D0459" w:rsidRPr="00154B5E">
        <w:rPr>
          <w:rFonts w:asciiTheme="majorHAnsi" w:hAnsiTheme="majorHAnsi" w:cs="Arial"/>
          <w:sz w:val="24"/>
          <w:szCs w:val="24"/>
        </w:rPr>
        <w:t xml:space="preserve">os </w:t>
      </w:r>
      <w:r w:rsidR="00A30D80" w:rsidRPr="00154B5E">
        <w:rPr>
          <w:rFonts w:asciiTheme="majorHAnsi" w:hAnsiTheme="majorHAnsi" w:cs="Arial"/>
          <w:sz w:val="24"/>
          <w:szCs w:val="24"/>
        </w:rPr>
        <w:t>ingresos liquidables de 324</w:t>
      </w:r>
      <w:r w:rsidR="003D0459" w:rsidRPr="00154B5E">
        <w:rPr>
          <w:rFonts w:asciiTheme="majorHAnsi" w:hAnsiTheme="majorHAnsi"/>
          <w:sz w:val="24"/>
          <w:szCs w:val="24"/>
        </w:rPr>
        <w:t xml:space="preserve"> </w:t>
      </w:r>
      <w:r w:rsidR="003D0459" w:rsidRPr="00154B5E">
        <w:rPr>
          <w:rFonts w:asciiTheme="majorHAnsi" w:hAnsiTheme="majorHAnsi" w:cs="Arial"/>
          <w:sz w:val="24"/>
          <w:szCs w:val="24"/>
        </w:rPr>
        <w:t>M€ que son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 un 13,8% inferior</w:t>
      </w:r>
      <w:r w:rsidR="003D0459" w:rsidRPr="00154B5E">
        <w:rPr>
          <w:rFonts w:asciiTheme="majorHAnsi" w:hAnsiTheme="majorHAnsi" w:cs="Arial"/>
          <w:sz w:val="24"/>
          <w:szCs w:val="24"/>
        </w:rPr>
        <w:t>es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 a</w:t>
      </w:r>
      <w:r w:rsidR="003D0459" w:rsidRPr="00154B5E">
        <w:rPr>
          <w:rFonts w:asciiTheme="majorHAnsi" w:hAnsiTheme="majorHAnsi" w:cs="Arial"/>
          <w:sz w:val="24"/>
          <w:szCs w:val="24"/>
        </w:rPr>
        <w:t xml:space="preserve"> los</w:t>
      </w:r>
      <w:r w:rsidR="00A30D80" w:rsidRPr="00154B5E">
        <w:rPr>
          <w:rFonts w:asciiTheme="majorHAnsi" w:hAnsiTheme="majorHAnsi" w:cs="Arial"/>
          <w:sz w:val="24"/>
          <w:szCs w:val="24"/>
        </w:rPr>
        <w:t xml:space="preserve"> del ejercicio anterior.</w:t>
      </w:r>
    </w:p>
    <w:p w14:paraId="39DBF642" w14:textId="77777777" w:rsidR="00E67AEA" w:rsidRPr="00154B5E" w:rsidRDefault="00E67AEA" w:rsidP="00E67AEA">
      <w:pPr>
        <w:pStyle w:val="Prrafodelista"/>
        <w:rPr>
          <w:rFonts w:asciiTheme="majorHAnsi" w:hAnsiTheme="majorHAnsi" w:cs="Arial"/>
          <w:color w:val="FF0000"/>
          <w:sz w:val="24"/>
          <w:szCs w:val="24"/>
        </w:rPr>
      </w:pPr>
    </w:p>
    <w:p w14:paraId="3F9BEAD7" w14:textId="5384FF87" w:rsidR="009868A2" w:rsidRPr="00154B5E" w:rsidRDefault="009868A2" w:rsidP="009868A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154B5E">
        <w:rPr>
          <w:rFonts w:asciiTheme="majorHAnsi" w:hAnsiTheme="majorHAnsi" w:cs="Arial"/>
          <w:sz w:val="24"/>
          <w:szCs w:val="24"/>
        </w:rPr>
        <w:t xml:space="preserve">La 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retribución total acreditada asciende a </w:t>
      </w:r>
      <w:r w:rsidR="003D0459" w:rsidRPr="00C444E7">
        <w:rPr>
          <w:rFonts w:asciiTheme="majorHAnsi" w:hAnsiTheme="majorHAnsi" w:cs="Arial"/>
          <w:b/>
          <w:sz w:val="24"/>
          <w:szCs w:val="24"/>
        </w:rPr>
        <w:t>5</w:t>
      </w:r>
      <w:r w:rsidR="00154B5E" w:rsidRPr="00C444E7">
        <w:rPr>
          <w:rFonts w:asciiTheme="majorHAnsi" w:hAnsiTheme="majorHAnsi" w:cs="Arial"/>
          <w:b/>
          <w:sz w:val="24"/>
          <w:szCs w:val="24"/>
        </w:rPr>
        <w:t>13</w:t>
      </w:r>
      <w:r w:rsidR="003D0459" w:rsidRPr="00C444E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444E7">
        <w:rPr>
          <w:rFonts w:asciiTheme="majorHAnsi" w:hAnsiTheme="majorHAnsi" w:cs="Arial"/>
          <w:b/>
          <w:sz w:val="24"/>
          <w:szCs w:val="24"/>
        </w:rPr>
        <w:t>M€</w:t>
      </w:r>
      <w:r w:rsidRPr="00154B5E">
        <w:rPr>
          <w:rFonts w:asciiTheme="majorHAnsi" w:hAnsiTheme="majorHAnsi" w:cs="Arial"/>
          <w:sz w:val="24"/>
          <w:szCs w:val="24"/>
        </w:rPr>
        <w:t xml:space="preserve">, un </w:t>
      </w:r>
      <w:r w:rsidR="003D0459" w:rsidRPr="00154B5E">
        <w:rPr>
          <w:rFonts w:asciiTheme="majorHAnsi" w:hAnsiTheme="majorHAnsi" w:cs="Arial"/>
          <w:sz w:val="24"/>
          <w:szCs w:val="24"/>
        </w:rPr>
        <w:t>2,0</w:t>
      </w:r>
      <w:r w:rsidRPr="00154B5E">
        <w:rPr>
          <w:rFonts w:asciiTheme="majorHAnsi" w:hAnsiTheme="majorHAnsi" w:cs="Arial"/>
          <w:sz w:val="24"/>
          <w:szCs w:val="24"/>
        </w:rPr>
        <w:t xml:space="preserve">% </w:t>
      </w:r>
      <w:r w:rsidR="003D0459" w:rsidRPr="00154B5E">
        <w:rPr>
          <w:rFonts w:asciiTheme="majorHAnsi" w:hAnsiTheme="majorHAnsi" w:cs="Arial"/>
          <w:sz w:val="24"/>
          <w:szCs w:val="24"/>
        </w:rPr>
        <w:t>sup</w:t>
      </w:r>
      <w:r w:rsidRPr="00154B5E">
        <w:rPr>
          <w:rFonts w:asciiTheme="majorHAnsi" w:hAnsiTheme="majorHAnsi" w:cs="Arial"/>
          <w:sz w:val="24"/>
          <w:szCs w:val="24"/>
        </w:rPr>
        <w:t>erior a la del año anterior.</w:t>
      </w:r>
    </w:p>
    <w:p w14:paraId="5B8D09E7" w14:textId="77777777" w:rsidR="009868A2" w:rsidRPr="00154B5E" w:rsidRDefault="009868A2" w:rsidP="009868A2">
      <w:pPr>
        <w:pStyle w:val="Prrafodelista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FF0000"/>
          <w:sz w:val="24"/>
          <w:szCs w:val="24"/>
          <w:highlight w:val="yellow"/>
        </w:rPr>
      </w:pPr>
    </w:p>
    <w:p w14:paraId="4CC1D961" w14:textId="048EF65B" w:rsidR="009868A2" w:rsidRPr="00154B5E" w:rsidRDefault="009868A2" w:rsidP="009868A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154B5E">
        <w:rPr>
          <w:rFonts w:asciiTheme="majorHAnsi" w:hAnsiTheme="majorHAnsi" w:cs="Arial"/>
          <w:sz w:val="24"/>
          <w:szCs w:val="24"/>
        </w:rPr>
        <w:t xml:space="preserve">El </w:t>
      </w:r>
      <w:r w:rsidRPr="00C444E7">
        <w:rPr>
          <w:rFonts w:asciiTheme="majorHAnsi" w:hAnsiTheme="majorHAnsi" w:cs="Arial"/>
          <w:b/>
          <w:sz w:val="24"/>
          <w:szCs w:val="24"/>
        </w:rPr>
        <w:t>déficit</w:t>
      </w:r>
      <w:r w:rsidRPr="00154B5E">
        <w:rPr>
          <w:rFonts w:asciiTheme="majorHAnsi" w:hAnsiTheme="majorHAnsi" w:cs="Arial"/>
          <w:sz w:val="24"/>
          <w:szCs w:val="24"/>
        </w:rPr>
        <w:t xml:space="preserve"> obtenido en esta 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liquidación provisional es de </w:t>
      </w:r>
      <w:r w:rsidR="003D0459" w:rsidRPr="00C444E7">
        <w:rPr>
          <w:rFonts w:asciiTheme="majorHAnsi" w:hAnsiTheme="majorHAnsi" w:cs="Arial"/>
          <w:b/>
          <w:sz w:val="24"/>
          <w:szCs w:val="24"/>
        </w:rPr>
        <w:t>189</w:t>
      </w:r>
      <w:r w:rsidR="0076556E" w:rsidRPr="00C444E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444E7">
        <w:rPr>
          <w:rFonts w:asciiTheme="majorHAnsi" w:hAnsiTheme="majorHAnsi" w:cs="Arial"/>
          <w:b/>
          <w:sz w:val="24"/>
          <w:szCs w:val="24"/>
        </w:rPr>
        <w:t>M€,</w:t>
      </w:r>
      <w:r w:rsidRPr="00154B5E">
        <w:rPr>
          <w:rFonts w:asciiTheme="majorHAnsi" w:hAnsiTheme="majorHAnsi" w:cs="Arial"/>
          <w:sz w:val="24"/>
          <w:szCs w:val="24"/>
        </w:rPr>
        <w:t xml:space="preserve"> frente al déficit de </w:t>
      </w:r>
      <w:r w:rsidR="003D0459" w:rsidRPr="00154B5E">
        <w:rPr>
          <w:rFonts w:asciiTheme="majorHAnsi" w:hAnsiTheme="majorHAnsi" w:cs="Arial"/>
          <w:sz w:val="24"/>
          <w:szCs w:val="24"/>
        </w:rPr>
        <w:t xml:space="preserve">127 </w:t>
      </w:r>
      <w:r w:rsidRPr="00154B5E">
        <w:rPr>
          <w:rFonts w:asciiTheme="majorHAnsi" w:hAnsiTheme="majorHAnsi" w:cs="Arial"/>
          <w:sz w:val="24"/>
          <w:szCs w:val="24"/>
        </w:rPr>
        <w:t>M€ del mismo periodo del año 201</w:t>
      </w:r>
      <w:r w:rsidR="00E67AEA" w:rsidRPr="00154B5E">
        <w:rPr>
          <w:rFonts w:asciiTheme="majorHAnsi" w:hAnsiTheme="majorHAnsi" w:cs="Arial"/>
          <w:sz w:val="24"/>
          <w:szCs w:val="24"/>
        </w:rPr>
        <w:t>7</w:t>
      </w:r>
      <w:r w:rsidRPr="00154B5E">
        <w:rPr>
          <w:rFonts w:asciiTheme="majorHAnsi" w:hAnsiTheme="majorHAnsi" w:cs="Arial"/>
          <w:sz w:val="24"/>
          <w:szCs w:val="24"/>
        </w:rPr>
        <w:t xml:space="preserve">. Se tiene un índice de cobertura del </w:t>
      </w:r>
      <w:r w:rsidR="003D0459" w:rsidRPr="00154B5E">
        <w:rPr>
          <w:rFonts w:asciiTheme="majorHAnsi" w:hAnsiTheme="majorHAnsi" w:cs="Arial"/>
          <w:sz w:val="24"/>
          <w:szCs w:val="24"/>
        </w:rPr>
        <w:t>63,1</w:t>
      </w:r>
      <w:r w:rsidRPr="00154B5E">
        <w:rPr>
          <w:rFonts w:asciiTheme="majorHAnsi" w:hAnsiTheme="majorHAnsi" w:cs="Arial"/>
          <w:sz w:val="24"/>
          <w:szCs w:val="24"/>
        </w:rPr>
        <w:t xml:space="preserve">% de la retribución. </w:t>
      </w:r>
    </w:p>
    <w:p w14:paraId="43BD3EBF" w14:textId="77777777" w:rsidR="009868A2" w:rsidRPr="00154B5E" w:rsidRDefault="009868A2" w:rsidP="009868A2">
      <w:pPr>
        <w:pStyle w:val="Prrafodelista"/>
        <w:rPr>
          <w:rFonts w:asciiTheme="majorHAnsi" w:hAnsiTheme="majorHAnsi" w:cs="Arial"/>
          <w:color w:val="FF0000"/>
          <w:sz w:val="24"/>
          <w:szCs w:val="24"/>
        </w:rPr>
      </w:pPr>
    </w:p>
    <w:p w14:paraId="4E1CFD6D" w14:textId="6129C889" w:rsidR="009868A2" w:rsidRDefault="009868A2" w:rsidP="001E6E8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154B5E">
        <w:rPr>
          <w:rFonts w:asciiTheme="majorHAnsi" w:hAnsiTheme="majorHAnsi" w:cs="Arial"/>
          <w:sz w:val="24"/>
          <w:szCs w:val="24"/>
        </w:rPr>
        <w:t xml:space="preserve">La </w:t>
      </w:r>
      <w:r w:rsidRPr="00C444E7">
        <w:rPr>
          <w:rFonts w:asciiTheme="majorHAnsi" w:hAnsiTheme="majorHAnsi" w:cs="Arial"/>
          <w:b/>
          <w:sz w:val="24"/>
          <w:szCs w:val="24"/>
        </w:rPr>
        <w:t>energía suministrada en 201</w:t>
      </w:r>
      <w:r w:rsidR="001E6E8E" w:rsidRPr="00C444E7">
        <w:rPr>
          <w:rFonts w:asciiTheme="majorHAnsi" w:hAnsiTheme="majorHAnsi" w:cs="Arial"/>
          <w:b/>
          <w:sz w:val="24"/>
          <w:szCs w:val="24"/>
        </w:rPr>
        <w:t>8</w:t>
      </w:r>
      <w:r w:rsidRPr="00154B5E">
        <w:rPr>
          <w:rFonts w:asciiTheme="majorHAnsi" w:hAnsiTheme="majorHAnsi" w:cs="Arial"/>
          <w:sz w:val="24"/>
          <w:szCs w:val="24"/>
        </w:rPr>
        <w:t xml:space="preserve">, facturada hasta </w:t>
      </w:r>
      <w:r w:rsidR="00933483" w:rsidRPr="00154B5E">
        <w:rPr>
          <w:rFonts w:asciiTheme="majorHAnsi" w:hAnsiTheme="majorHAnsi" w:cs="Arial"/>
          <w:sz w:val="24"/>
          <w:szCs w:val="24"/>
        </w:rPr>
        <w:t xml:space="preserve">el </w:t>
      </w:r>
      <w:r w:rsidR="002C5E9A" w:rsidRPr="00154B5E">
        <w:rPr>
          <w:rFonts w:asciiTheme="majorHAnsi" w:hAnsiTheme="majorHAnsi" w:cs="Arial"/>
          <w:sz w:val="24"/>
          <w:szCs w:val="24"/>
        </w:rPr>
        <w:t>28</w:t>
      </w:r>
      <w:r w:rsidR="00B8032C" w:rsidRPr="00154B5E">
        <w:rPr>
          <w:rFonts w:asciiTheme="majorHAnsi" w:hAnsiTheme="majorHAnsi" w:cs="Arial"/>
          <w:sz w:val="24"/>
          <w:szCs w:val="24"/>
        </w:rPr>
        <w:t xml:space="preserve"> de </w:t>
      </w:r>
      <w:r w:rsidR="002C5E9A" w:rsidRPr="00154B5E">
        <w:rPr>
          <w:rFonts w:asciiTheme="majorHAnsi" w:hAnsiTheme="majorHAnsi" w:cs="Arial"/>
          <w:sz w:val="24"/>
          <w:szCs w:val="24"/>
        </w:rPr>
        <w:t>febrero</w:t>
      </w:r>
      <w:r w:rsidRPr="00154B5E">
        <w:rPr>
          <w:rFonts w:asciiTheme="majorHAnsi" w:hAnsiTheme="majorHAnsi" w:cs="Arial"/>
          <w:sz w:val="24"/>
          <w:szCs w:val="24"/>
        </w:rPr>
        <w:t xml:space="preserve"> asciende a </w:t>
      </w:r>
      <w:r w:rsidR="00E67AEA" w:rsidRPr="00C444E7">
        <w:rPr>
          <w:rFonts w:asciiTheme="majorHAnsi" w:hAnsiTheme="majorHAnsi" w:cs="Arial"/>
          <w:b/>
          <w:sz w:val="24"/>
          <w:szCs w:val="24"/>
        </w:rPr>
        <w:t>3</w:t>
      </w:r>
      <w:r w:rsidR="002C5E9A" w:rsidRPr="00C444E7">
        <w:rPr>
          <w:rFonts w:asciiTheme="majorHAnsi" w:hAnsiTheme="majorHAnsi" w:cs="Arial"/>
          <w:b/>
          <w:sz w:val="24"/>
          <w:szCs w:val="24"/>
        </w:rPr>
        <w:t>6</w:t>
      </w:r>
      <w:r w:rsidR="005B777C" w:rsidRPr="00C444E7">
        <w:rPr>
          <w:rFonts w:asciiTheme="majorHAnsi" w:hAnsiTheme="majorHAnsi" w:cs="Arial"/>
          <w:b/>
          <w:sz w:val="24"/>
          <w:szCs w:val="24"/>
        </w:rPr>
        <w:t>,</w:t>
      </w:r>
      <w:r w:rsidR="002C5E9A" w:rsidRPr="00C444E7">
        <w:rPr>
          <w:rFonts w:asciiTheme="majorHAnsi" w:hAnsiTheme="majorHAnsi" w:cs="Arial"/>
          <w:b/>
          <w:sz w:val="24"/>
          <w:szCs w:val="24"/>
        </w:rPr>
        <w:t>5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 TWh</w:t>
      </w:r>
      <w:r w:rsidRPr="00154B5E">
        <w:rPr>
          <w:rFonts w:asciiTheme="majorHAnsi" w:hAnsiTheme="majorHAnsi" w:cs="Arial"/>
          <w:sz w:val="24"/>
          <w:szCs w:val="24"/>
        </w:rPr>
        <w:t xml:space="preserve">, </w:t>
      </w:r>
      <w:r w:rsidR="00692BF9" w:rsidRPr="00154B5E">
        <w:rPr>
          <w:rFonts w:asciiTheme="majorHAnsi" w:hAnsiTheme="majorHAnsi" w:cs="Arial"/>
          <w:sz w:val="24"/>
          <w:szCs w:val="24"/>
        </w:rPr>
        <w:t xml:space="preserve">incluyendo </w:t>
      </w:r>
      <w:r w:rsidR="002C5E9A" w:rsidRPr="00154B5E">
        <w:rPr>
          <w:rFonts w:asciiTheme="majorHAnsi" w:hAnsiTheme="majorHAnsi" w:cs="Arial"/>
          <w:sz w:val="24"/>
          <w:szCs w:val="24"/>
        </w:rPr>
        <w:t>2,0</w:t>
      </w:r>
      <w:r w:rsidRPr="00154B5E">
        <w:rPr>
          <w:rFonts w:asciiTheme="majorHAnsi" w:hAnsiTheme="majorHAnsi" w:cs="Arial"/>
          <w:sz w:val="24"/>
          <w:szCs w:val="24"/>
        </w:rPr>
        <w:t xml:space="preserve"> TWh </w:t>
      </w:r>
      <w:r w:rsidR="001E6E8E">
        <w:rPr>
          <w:rFonts w:asciiTheme="majorHAnsi" w:hAnsiTheme="majorHAnsi" w:cs="Arial"/>
          <w:sz w:val="24"/>
          <w:szCs w:val="24"/>
        </w:rPr>
        <w:t>de la</w:t>
      </w:r>
      <w:r w:rsidRPr="00154B5E">
        <w:rPr>
          <w:rFonts w:asciiTheme="majorHAnsi" w:hAnsiTheme="majorHAnsi" w:cs="Arial"/>
          <w:sz w:val="24"/>
          <w:szCs w:val="24"/>
        </w:rPr>
        <w:t xml:space="preserve"> carga de cisternas. </w:t>
      </w:r>
      <w:r w:rsidR="00692BF9" w:rsidRPr="00154B5E">
        <w:rPr>
          <w:rFonts w:asciiTheme="majorHAnsi" w:hAnsiTheme="majorHAnsi" w:cs="Arial"/>
          <w:sz w:val="24"/>
          <w:szCs w:val="24"/>
        </w:rPr>
        <w:t>Ello supone que es 1</w:t>
      </w:r>
      <w:r w:rsidR="002C5E9A" w:rsidRPr="00154B5E">
        <w:rPr>
          <w:rFonts w:asciiTheme="majorHAnsi" w:hAnsiTheme="majorHAnsi" w:cs="Arial"/>
          <w:sz w:val="24"/>
          <w:szCs w:val="24"/>
        </w:rPr>
        <w:t>3</w:t>
      </w:r>
      <w:r w:rsidR="00692BF9" w:rsidRPr="00154B5E">
        <w:rPr>
          <w:rFonts w:asciiTheme="majorHAnsi" w:hAnsiTheme="majorHAnsi" w:cs="Arial"/>
          <w:sz w:val="24"/>
          <w:szCs w:val="24"/>
        </w:rPr>
        <w:t>,</w:t>
      </w:r>
      <w:r w:rsidR="002C5E9A" w:rsidRPr="00154B5E">
        <w:rPr>
          <w:rFonts w:asciiTheme="majorHAnsi" w:hAnsiTheme="majorHAnsi" w:cs="Arial"/>
          <w:sz w:val="24"/>
          <w:szCs w:val="24"/>
        </w:rPr>
        <w:t>4</w:t>
      </w:r>
      <w:r w:rsidR="0018049A" w:rsidRPr="00154B5E">
        <w:rPr>
          <w:rFonts w:asciiTheme="majorHAnsi" w:hAnsiTheme="majorHAnsi" w:cs="Arial"/>
          <w:sz w:val="24"/>
          <w:szCs w:val="24"/>
        </w:rPr>
        <w:t xml:space="preserve"> </w:t>
      </w:r>
      <w:r w:rsidRPr="00154B5E">
        <w:rPr>
          <w:rFonts w:asciiTheme="majorHAnsi" w:hAnsiTheme="majorHAnsi" w:cs="Arial"/>
          <w:sz w:val="24"/>
          <w:szCs w:val="24"/>
        </w:rPr>
        <w:t xml:space="preserve">TWh </w:t>
      </w:r>
      <w:r w:rsidR="0018049A" w:rsidRPr="00154B5E">
        <w:rPr>
          <w:rFonts w:asciiTheme="majorHAnsi" w:hAnsiTheme="majorHAnsi" w:cs="Arial"/>
          <w:sz w:val="24"/>
          <w:szCs w:val="24"/>
        </w:rPr>
        <w:t>inferior</w:t>
      </w:r>
      <w:r w:rsidR="00692BF9" w:rsidRPr="00154B5E">
        <w:rPr>
          <w:rFonts w:asciiTheme="majorHAnsi" w:hAnsiTheme="majorHAnsi" w:cs="Arial"/>
          <w:sz w:val="24"/>
          <w:szCs w:val="24"/>
        </w:rPr>
        <w:t xml:space="preserve"> con </w:t>
      </w:r>
      <w:r w:rsidRPr="00154B5E">
        <w:rPr>
          <w:rFonts w:asciiTheme="majorHAnsi" w:hAnsiTheme="majorHAnsi" w:cs="Arial"/>
          <w:sz w:val="24"/>
          <w:szCs w:val="24"/>
        </w:rPr>
        <w:t xml:space="preserve">respecto al </w:t>
      </w:r>
      <w:r w:rsidR="0018049A" w:rsidRPr="00154B5E">
        <w:rPr>
          <w:rFonts w:asciiTheme="majorHAnsi" w:hAnsiTheme="majorHAnsi" w:cs="Arial"/>
          <w:sz w:val="24"/>
          <w:szCs w:val="24"/>
        </w:rPr>
        <w:t>mismo periodo del 2017</w:t>
      </w:r>
      <w:r w:rsidRPr="00154B5E">
        <w:rPr>
          <w:rFonts w:asciiTheme="majorHAnsi" w:hAnsiTheme="majorHAnsi" w:cs="Arial"/>
          <w:sz w:val="24"/>
          <w:szCs w:val="24"/>
        </w:rPr>
        <w:t xml:space="preserve">. </w:t>
      </w:r>
      <w:r w:rsidR="00391681" w:rsidRPr="00154B5E">
        <w:rPr>
          <w:rFonts w:asciiTheme="majorHAnsi" w:hAnsiTheme="majorHAnsi" w:cs="Arial"/>
          <w:sz w:val="24"/>
          <w:szCs w:val="24"/>
        </w:rPr>
        <w:t>Adicionalmente, las exportaciones de gas natural por gasoducto han sido de 0,6 TWh, un 6,7% más con respecto a 2016, y el gas cargado desde las plantas de regasificación a buques ha sido de 1,0 TWh. Lo que conlleva que el total de la energía de salida del sistema gasista haya ascendido a 38,2 TWh.</w:t>
      </w:r>
    </w:p>
    <w:p w14:paraId="46990667" w14:textId="77777777" w:rsidR="00391681" w:rsidRPr="00391681" w:rsidRDefault="00391681" w:rsidP="00391681">
      <w:pPr>
        <w:pStyle w:val="Prrafodelista"/>
        <w:rPr>
          <w:rFonts w:asciiTheme="majorHAnsi" w:hAnsiTheme="majorHAnsi" w:cs="Arial"/>
          <w:sz w:val="24"/>
          <w:szCs w:val="24"/>
        </w:rPr>
      </w:pPr>
    </w:p>
    <w:p w14:paraId="026E9BFA" w14:textId="78811809" w:rsidR="002C5E9A" w:rsidRPr="00154B5E" w:rsidRDefault="009868A2" w:rsidP="001625B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154B5E">
        <w:rPr>
          <w:rFonts w:asciiTheme="majorHAnsi" w:hAnsiTheme="majorHAnsi" w:cs="Arial"/>
          <w:sz w:val="24"/>
          <w:szCs w:val="24"/>
        </w:rPr>
        <w:t xml:space="preserve">El </w:t>
      </w:r>
      <w:bookmarkStart w:id="0" w:name="_GoBack"/>
      <w:r w:rsidRPr="00C444E7">
        <w:rPr>
          <w:rFonts w:asciiTheme="majorHAnsi" w:hAnsiTheme="majorHAnsi" w:cs="Arial"/>
          <w:b/>
          <w:sz w:val="24"/>
          <w:szCs w:val="24"/>
        </w:rPr>
        <w:t xml:space="preserve">número de consumidores a </w:t>
      </w:r>
      <w:r w:rsidR="002C5E9A" w:rsidRPr="00C444E7">
        <w:rPr>
          <w:rFonts w:asciiTheme="majorHAnsi" w:hAnsiTheme="majorHAnsi" w:cs="Arial"/>
          <w:b/>
          <w:sz w:val="24"/>
          <w:szCs w:val="24"/>
        </w:rPr>
        <w:t xml:space="preserve">28 </w:t>
      </w:r>
      <w:r w:rsidR="00B8032C" w:rsidRPr="00C444E7">
        <w:rPr>
          <w:rFonts w:asciiTheme="majorHAnsi" w:hAnsiTheme="majorHAnsi" w:cs="Arial"/>
          <w:b/>
          <w:sz w:val="24"/>
          <w:szCs w:val="24"/>
        </w:rPr>
        <w:t xml:space="preserve">de </w:t>
      </w:r>
      <w:r w:rsidR="002C5E9A" w:rsidRPr="00C444E7">
        <w:rPr>
          <w:rFonts w:asciiTheme="majorHAnsi" w:hAnsiTheme="majorHAnsi" w:cs="Arial"/>
          <w:b/>
          <w:sz w:val="24"/>
          <w:szCs w:val="24"/>
        </w:rPr>
        <w:t>febr</w:t>
      </w:r>
      <w:r w:rsidR="0018049A" w:rsidRPr="00C444E7">
        <w:rPr>
          <w:rFonts w:asciiTheme="majorHAnsi" w:hAnsiTheme="majorHAnsi" w:cs="Arial"/>
          <w:b/>
          <w:sz w:val="24"/>
          <w:szCs w:val="24"/>
        </w:rPr>
        <w:t>ero</w:t>
      </w:r>
      <w:r w:rsidR="00933483" w:rsidRPr="00C444E7">
        <w:rPr>
          <w:rFonts w:asciiTheme="majorHAnsi" w:hAnsiTheme="majorHAnsi" w:cs="Arial"/>
          <w:b/>
          <w:sz w:val="24"/>
          <w:szCs w:val="24"/>
        </w:rPr>
        <w:t xml:space="preserve"> de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 201</w:t>
      </w:r>
      <w:r w:rsidR="0018049A" w:rsidRPr="00C444E7">
        <w:rPr>
          <w:rFonts w:asciiTheme="majorHAnsi" w:hAnsiTheme="majorHAnsi" w:cs="Arial"/>
          <w:b/>
          <w:sz w:val="24"/>
          <w:szCs w:val="24"/>
        </w:rPr>
        <w:t>8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 ha ascendido a </w:t>
      </w:r>
      <w:r w:rsidR="00B82BB6" w:rsidRPr="00C444E7">
        <w:rPr>
          <w:rFonts w:asciiTheme="majorHAnsi" w:hAnsiTheme="majorHAnsi" w:cs="Arial"/>
          <w:b/>
          <w:sz w:val="24"/>
          <w:szCs w:val="24"/>
        </w:rPr>
        <w:t>7,</w:t>
      </w:r>
      <w:r w:rsidR="00972CFB" w:rsidRPr="00C444E7">
        <w:rPr>
          <w:rFonts w:asciiTheme="majorHAnsi" w:hAnsiTheme="majorHAnsi" w:cs="Arial"/>
          <w:b/>
          <w:sz w:val="24"/>
          <w:szCs w:val="24"/>
        </w:rPr>
        <w:t>8</w:t>
      </w:r>
      <w:r w:rsidR="002C5E9A" w:rsidRPr="00C444E7">
        <w:rPr>
          <w:rFonts w:asciiTheme="majorHAnsi" w:hAnsiTheme="majorHAnsi" w:cs="Arial"/>
          <w:b/>
          <w:sz w:val="24"/>
          <w:szCs w:val="24"/>
        </w:rPr>
        <w:t>3</w:t>
      </w:r>
      <w:r w:rsidRPr="00C444E7">
        <w:rPr>
          <w:rFonts w:asciiTheme="majorHAnsi" w:hAnsiTheme="majorHAnsi" w:cs="Arial"/>
          <w:b/>
          <w:sz w:val="24"/>
          <w:szCs w:val="24"/>
        </w:rPr>
        <w:t xml:space="preserve"> millones</w:t>
      </w:r>
      <w:bookmarkEnd w:id="0"/>
      <w:r w:rsidRPr="00154B5E">
        <w:rPr>
          <w:rFonts w:asciiTheme="majorHAnsi" w:hAnsiTheme="majorHAnsi" w:cs="Arial"/>
          <w:sz w:val="24"/>
          <w:szCs w:val="24"/>
        </w:rPr>
        <w:t xml:space="preserve">, lo que significa un aumento interanual de </w:t>
      </w:r>
      <w:r w:rsidR="0018049A" w:rsidRPr="00154B5E">
        <w:rPr>
          <w:rFonts w:asciiTheme="majorHAnsi" w:hAnsiTheme="majorHAnsi" w:cs="Arial"/>
          <w:sz w:val="24"/>
          <w:szCs w:val="24"/>
        </w:rPr>
        <w:t>11</w:t>
      </w:r>
      <w:r w:rsidR="002C5E9A" w:rsidRPr="00154B5E">
        <w:rPr>
          <w:rFonts w:asciiTheme="majorHAnsi" w:hAnsiTheme="majorHAnsi" w:cs="Arial"/>
          <w:sz w:val="24"/>
          <w:szCs w:val="24"/>
        </w:rPr>
        <w:t>4</w:t>
      </w:r>
      <w:r w:rsidR="0018049A" w:rsidRPr="00154B5E">
        <w:rPr>
          <w:rFonts w:asciiTheme="majorHAnsi" w:hAnsiTheme="majorHAnsi" w:cs="Arial"/>
          <w:sz w:val="24"/>
          <w:szCs w:val="24"/>
        </w:rPr>
        <w:t>.</w:t>
      </w:r>
      <w:r w:rsidR="002C5E9A" w:rsidRPr="00154B5E">
        <w:rPr>
          <w:rFonts w:asciiTheme="majorHAnsi" w:hAnsiTheme="majorHAnsi" w:cs="Arial"/>
          <w:sz w:val="24"/>
          <w:szCs w:val="24"/>
        </w:rPr>
        <w:t>249</w:t>
      </w:r>
      <w:r w:rsidRPr="00154B5E">
        <w:rPr>
          <w:rFonts w:asciiTheme="majorHAnsi" w:hAnsiTheme="majorHAnsi" w:cs="Arial"/>
          <w:sz w:val="24"/>
          <w:szCs w:val="24"/>
        </w:rPr>
        <w:t xml:space="preserve"> consumidores. De ellos, 1,6</w:t>
      </w:r>
      <w:r w:rsidR="0030592F" w:rsidRPr="00154B5E">
        <w:rPr>
          <w:rFonts w:asciiTheme="majorHAnsi" w:hAnsiTheme="majorHAnsi" w:cs="Arial"/>
          <w:sz w:val="24"/>
          <w:szCs w:val="24"/>
        </w:rPr>
        <w:t>1</w:t>
      </w:r>
      <w:r w:rsidRPr="00154B5E">
        <w:rPr>
          <w:rFonts w:asciiTheme="majorHAnsi" w:hAnsiTheme="majorHAnsi" w:cs="Arial"/>
          <w:sz w:val="24"/>
          <w:szCs w:val="24"/>
        </w:rPr>
        <w:t xml:space="preserve"> millones se suministran con tarifa de último recurso.</w:t>
      </w:r>
      <w:r w:rsidR="001625B8" w:rsidRPr="00154B5E">
        <w:rPr>
          <w:rFonts w:asciiTheme="majorHAnsi" w:hAnsiTheme="majorHAnsi" w:cs="Arial"/>
          <w:sz w:val="24"/>
          <w:szCs w:val="24"/>
        </w:rPr>
        <w:t xml:space="preserve"> </w:t>
      </w:r>
    </w:p>
    <w:p w14:paraId="1FC97485" w14:textId="77777777" w:rsidR="0018049A" w:rsidRPr="00154B5E" w:rsidRDefault="0018049A" w:rsidP="0018049A">
      <w:pPr>
        <w:pStyle w:val="Prrafodelista"/>
        <w:rPr>
          <w:rFonts w:asciiTheme="majorHAnsi" w:hAnsiTheme="majorHAnsi" w:cs="Arial"/>
          <w:color w:val="FF0000"/>
          <w:sz w:val="24"/>
          <w:szCs w:val="24"/>
        </w:rPr>
      </w:pPr>
    </w:p>
    <w:p w14:paraId="2E707E71" w14:textId="77777777" w:rsidR="0018049A" w:rsidRPr="00154B5E" w:rsidRDefault="0018049A" w:rsidP="0018049A">
      <w:pPr>
        <w:pStyle w:val="Prrafodelista"/>
        <w:rPr>
          <w:rFonts w:asciiTheme="majorHAnsi" w:hAnsiTheme="majorHAnsi" w:cs="Arial"/>
          <w:sz w:val="24"/>
          <w:szCs w:val="24"/>
        </w:rPr>
      </w:pPr>
    </w:p>
    <w:p w14:paraId="63788FF2" w14:textId="77777777" w:rsidR="009868A2" w:rsidRPr="00154B5E" w:rsidRDefault="009868A2" w:rsidP="009868A2">
      <w:pPr>
        <w:pStyle w:val="Prrafodelista"/>
        <w:rPr>
          <w:rFonts w:asciiTheme="majorHAnsi" w:hAnsiTheme="majorHAnsi" w:cs="Arial"/>
          <w:color w:val="FF0000"/>
          <w:sz w:val="24"/>
          <w:szCs w:val="24"/>
        </w:rPr>
      </w:pPr>
    </w:p>
    <w:p w14:paraId="0EB86194" w14:textId="09A50EFB" w:rsidR="00B97BF8" w:rsidRPr="00154B5E" w:rsidRDefault="009868A2" w:rsidP="0030592F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FF0000"/>
        </w:rPr>
      </w:pPr>
      <w:r w:rsidRPr="00154B5E">
        <w:rPr>
          <w:rFonts w:asciiTheme="majorHAnsi" w:hAnsiTheme="majorHAnsi" w:cs="Arial"/>
        </w:rPr>
        <w:t>Si deseas acceder al informe co</w:t>
      </w:r>
      <w:r w:rsidR="00804DF0" w:rsidRPr="00154B5E">
        <w:rPr>
          <w:rFonts w:asciiTheme="majorHAnsi" w:hAnsiTheme="majorHAnsi" w:cs="Arial"/>
        </w:rPr>
        <w:t xml:space="preserve">mpleto, pulsa el siguiente </w:t>
      </w:r>
      <w:hyperlink r:id="rId10" w:history="1">
        <w:r w:rsidR="00804DF0" w:rsidRPr="00154B5E">
          <w:rPr>
            <w:rStyle w:val="Hipervnculo"/>
            <w:rFonts w:asciiTheme="majorHAnsi" w:hAnsiTheme="majorHAnsi" w:cs="Arial"/>
          </w:rPr>
          <w:t>link</w:t>
        </w:r>
      </w:hyperlink>
      <w:r w:rsidR="00804DF0" w:rsidRPr="00154B5E">
        <w:rPr>
          <w:rFonts w:asciiTheme="majorHAnsi" w:hAnsiTheme="majorHAnsi" w:cs="Arial"/>
          <w:color w:val="4F81BD" w:themeColor="accent1"/>
        </w:rPr>
        <w:t>.</w:t>
      </w:r>
    </w:p>
    <w:p w14:paraId="3C321596" w14:textId="77777777" w:rsidR="0014548B" w:rsidRDefault="0014548B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288A762C" w14:textId="77777777" w:rsidR="009E3F54" w:rsidRDefault="009E3F54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25DA9FD8" w14:textId="4D3359F7" w:rsidR="0018049A" w:rsidRDefault="0018049A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460F3F28" w14:textId="77777777" w:rsidR="000A7DA1" w:rsidRDefault="000A7DA1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4F32EAD3" w14:textId="77777777" w:rsidR="0018049A" w:rsidRDefault="0018049A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6F6773D2" w14:textId="77777777" w:rsidR="0018049A" w:rsidRDefault="0018049A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490095DE" w14:textId="77777777" w:rsidR="0039148F" w:rsidRDefault="0039148F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  <w:r w:rsidRPr="00054883">
        <w:rPr>
          <w:rFonts w:ascii="Arial" w:hAnsi="Arial" w:cs="Arial"/>
          <w:b/>
          <w:u w:val="single"/>
        </w:rPr>
        <w:lastRenderedPageBreak/>
        <w:t>ANEXOS</w:t>
      </w:r>
    </w:p>
    <w:p w14:paraId="36825465" w14:textId="77777777" w:rsidR="0039148F" w:rsidRPr="00054883" w:rsidRDefault="0039148F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u w:val="single"/>
        </w:rPr>
      </w:pPr>
    </w:p>
    <w:p w14:paraId="40EC6C00" w14:textId="0481BE88" w:rsidR="0039148F" w:rsidRDefault="000A7DA1" w:rsidP="0039148F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772C45" wp14:editId="2ACCED02">
            <wp:extent cx="5284519" cy="48249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0650" cy="483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1683" w14:textId="67991EE5" w:rsidR="0039148F" w:rsidRPr="00A2167C" w:rsidRDefault="0039148F" w:rsidP="0039148F">
      <w:pPr>
        <w:pStyle w:val="Prrafodelista"/>
        <w:ind w:left="0"/>
        <w:jc w:val="center"/>
        <w:rPr>
          <w:rFonts w:ascii="Arial" w:hAnsi="Arial" w:cs="Arial"/>
        </w:rPr>
      </w:pPr>
    </w:p>
    <w:p w14:paraId="7084899C" w14:textId="672E4566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  <w:r w:rsidRPr="0017434F">
        <w:rPr>
          <w:rFonts w:asciiTheme="majorHAnsi" w:hAnsiTheme="majorHAnsi"/>
          <w:b/>
          <w:i/>
          <w:sz w:val="22"/>
        </w:rPr>
        <w:t xml:space="preserve">Ingresos netos liquidables, </w:t>
      </w:r>
      <w:r w:rsidR="00A30D80">
        <w:rPr>
          <w:rFonts w:asciiTheme="majorHAnsi" w:hAnsiTheme="majorHAnsi"/>
          <w:b/>
          <w:i/>
          <w:sz w:val="22"/>
        </w:rPr>
        <w:t>2</w:t>
      </w:r>
      <w:r w:rsidR="0052306B" w:rsidRPr="0017434F">
        <w:rPr>
          <w:rFonts w:asciiTheme="majorHAnsi" w:hAnsiTheme="majorHAnsi"/>
          <w:b/>
          <w:i/>
          <w:sz w:val="22"/>
        </w:rPr>
        <w:t>/</w:t>
      </w:r>
      <w:r w:rsidR="00CB68D7" w:rsidRPr="0017434F">
        <w:rPr>
          <w:rFonts w:asciiTheme="majorHAnsi" w:hAnsiTheme="majorHAnsi"/>
          <w:b/>
          <w:i/>
          <w:sz w:val="22"/>
        </w:rPr>
        <w:t>201</w:t>
      </w:r>
      <w:r w:rsidR="00107DE8">
        <w:rPr>
          <w:rFonts w:asciiTheme="majorHAnsi" w:hAnsiTheme="majorHAnsi"/>
          <w:b/>
          <w:i/>
          <w:sz w:val="22"/>
        </w:rPr>
        <w:t>8</w:t>
      </w:r>
      <w:r w:rsidR="00CB68D7" w:rsidRPr="0017434F">
        <w:rPr>
          <w:rFonts w:asciiTheme="majorHAnsi" w:hAnsiTheme="majorHAnsi"/>
          <w:b/>
          <w:i/>
          <w:sz w:val="22"/>
        </w:rPr>
        <w:t xml:space="preserve"> /</w:t>
      </w:r>
      <w:r w:rsidR="00107DE8">
        <w:rPr>
          <w:rFonts w:asciiTheme="majorHAnsi" w:hAnsiTheme="majorHAnsi"/>
          <w:b/>
          <w:i/>
          <w:sz w:val="22"/>
        </w:rPr>
        <w:t xml:space="preserve"> </w:t>
      </w:r>
      <w:r w:rsidR="00A30D80">
        <w:rPr>
          <w:rFonts w:asciiTheme="majorHAnsi" w:hAnsiTheme="majorHAnsi"/>
          <w:b/>
          <w:i/>
          <w:sz w:val="22"/>
        </w:rPr>
        <w:t>2</w:t>
      </w:r>
      <w:r w:rsidR="00CB68D7" w:rsidRPr="0017434F">
        <w:rPr>
          <w:rFonts w:asciiTheme="majorHAnsi" w:hAnsiTheme="majorHAnsi"/>
          <w:b/>
          <w:i/>
          <w:sz w:val="22"/>
        </w:rPr>
        <w:t>/201</w:t>
      </w:r>
      <w:r w:rsidR="00107DE8">
        <w:rPr>
          <w:rFonts w:asciiTheme="majorHAnsi" w:hAnsiTheme="majorHAnsi"/>
          <w:b/>
          <w:i/>
          <w:sz w:val="22"/>
        </w:rPr>
        <w:t>7</w:t>
      </w:r>
    </w:p>
    <w:p w14:paraId="27A026B3" w14:textId="77777777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  <w:r w:rsidRPr="0017434F">
        <w:rPr>
          <w:rFonts w:asciiTheme="majorHAnsi" w:hAnsiTheme="majorHAnsi"/>
          <w:b/>
          <w:i/>
          <w:sz w:val="22"/>
        </w:rPr>
        <w:t>Fuente: CNMC</w:t>
      </w:r>
    </w:p>
    <w:p w14:paraId="45F972A0" w14:textId="77777777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</w:p>
    <w:p w14:paraId="0DAF368D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15CC6B35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5E399BA1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63146559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2080FCD2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0F6FD6F0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50957613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10DF9C49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6D7B46C7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265C67EC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420B9337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260129E5" w14:textId="77777777" w:rsidR="0039148F" w:rsidRDefault="0039148F" w:rsidP="0039148F">
      <w:pPr>
        <w:ind w:left="-567" w:right="-568"/>
        <w:jc w:val="center"/>
        <w:rPr>
          <w:b/>
          <w:i/>
          <w:sz w:val="20"/>
        </w:rPr>
      </w:pPr>
    </w:p>
    <w:p w14:paraId="35008C85" w14:textId="75D4B258" w:rsidR="0039148F" w:rsidRDefault="000A7DA1" w:rsidP="0039148F">
      <w:pPr>
        <w:ind w:left="-567" w:right="-568"/>
        <w:jc w:val="center"/>
        <w:rPr>
          <w:b/>
          <w:i/>
          <w:sz w:val="20"/>
        </w:rPr>
      </w:pPr>
      <w:r w:rsidRPr="000A7DA1">
        <w:rPr>
          <w:noProof/>
        </w:rPr>
        <w:lastRenderedPageBreak/>
        <w:drawing>
          <wp:inline distT="0" distB="0" distL="0" distR="0" wp14:anchorId="7BCAC20A" wp14:editId="2C830560">
            <wp:extent cx="5591175" cy="4286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3BE3" w14:textId="77777777" w:rsidR="009F780A" w:rsidRDefault="009F780A" w:rsidP="0039148F">
      <w:pPr>
        <w:ind w:left="-567" w:right="-568"/>
        <w:jc w:val="center"/>
        <w:rPr>
          <w:b/>
          <w:i/>
          <w:sz w:val="20"/>
        </w:rPr>
      </w:pPr>
    </w:p>
    <w:p w14:paraId="4B3092D1" w14:textId="4E2ACB24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  <w:r w:rsidRPr="0017434F">
        <w:rPr>
          <w:rFonts w:asciiTheme="majorHAnsi" w:hAnsiTheme="majorHAnsi"/>
          <w:b/>
          <w:i/>
          <w:sz w:val="22"/>
        </w:rPr>
        <w:t xml:space="preserve">Retribución acreditada, </w:t>
      </w:r>
      <w:r w:rsidR="00A30D80">
        <w:rPr>
          <w:rFonts w:asciiTheme="majorHAnsi" w:hAnsiTheme="majorHAnsi"/>
          <w:b/>
          <w:i/>
          <w:sz w:val="22"/>
        </w:rPr>
        <w:t>2</w:t>
      </w:r>
      <w:r w:rsidR="00107DE8">
        <w:rPr>
          <w:rFonts w:asciiTheme="majorHAnsi" w:hAnsiTheme="majorHAnsi"/>
          <w:b/>
          <w:i/>
          <w:sz w:val="22"/>
        </w:rPr>
        <w:t>/2018</w:t>
      </w:r>
      <w:r w:rsidR="00CB68D7" w:rsidRPr="0017434F">
        <w:rPr>
          <w:rFonts w:asciiTheme="majorHAnsi" w:hAnsiTheme="majorHAnsi"/>
          <w:b/>
          <w:i/>
          <w:sz w:val="22"/>
        </w:rPr>
        <w:t xml:space="preserve"> / </w:t>
      </w:r>
      <w:r w:rsidR="00A30D80">
        <w:rPr>
          <w:rFonts w:asciiTheme="majorHAnsi" w:hAnsiTheme="majorHAnsi"/>
          <w:b/>
          <w:i/>
          <w:sz w:val="22"/>
        </w:rPr>
        <w:t>2</w:t>
      </w:r>
      <w:r w:rsidR="00CB68D7" w:rsidRPr="0017434F">
        <w:rPr>
          <w:rFonts w:asciiTheme="majorHAnsi" w:hAnsiTheme="majorHAnsi"/>
          <w:b/>
          <w:i/>
          <w:sz w:val="22"/>
        </w:rPr>
        <w:t>/201</w:t>
      </w:r>
      <w:r w:rsidR="00107DE8">
        <w:rPr>
          <w:rFonts w:asciiTheme="majorHAnsi" w:hAnsiTheme="majorHAnsi"/>
          <w:b/>
          <w:i/>
          <w:sz w:val="22"/>
        </w:rPr>
        <w:t>7</w:t>
      </w:r>
    </w:p>
    <w:p w14:paraId="217D3AB6" w14:textId="77777777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  <w:r w:rsidRPr="0017434F">
        <w:rPr>
          <w:rFonts w:asciiTheme="majorHAnsi" w:hAnsiTheme="majorHAnsi"/>
          <w:b/>
          <w:i/>
          <w:sz w:val="22"/>
        </w:rPr>
        <w:t>Fuente: CNMC</w:t>
      </w:r>
    </w:p>
    <w:p w14:paraId="5C422957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7138C48C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29D915D0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08269612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4B57EB48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06EA1296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5CD7A768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583E3358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6544ACC1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4EEED365" w14:textId="77777777" w:rsidR="00933483" w:rsidRDefault="00933483" w:rsidP="0039148F">
      <w:pPr>
        <w:ind w:left="-567" w:right="-568"/>
        <w:jc w:val="center"/>
        <w:rPr>
          <w:noProof/>
        </w:rPr>
      </w:pPr>
    </w:p>
    <w:p w14:paraId="17F88D90" w14:textId="77777777" w:rsidR="00804DF0" w:rsidRDefault="00804DF0" w:rsidP="0039148F">
      <w:pPr>
        <w:ind w:left="-567" w:right="-568"/>
        <w:jc w:val="center"/>
        <w:rPr>
          <w:noProof/>
        </w:rPr>
      </w:pPr>
    </w:p>
    <w:p w14:paraId="355B92D9" w14:textId="77777777" w:rsidR="00804DF0" w:rsidRDefault="00804DF0" w:rsidP="0039148F">
      <w:pPr>
        <w:ind w:left="-567" w:right="-568"/>
        <w:jc w:val="center"/>
        <w:rPr>
          <w:noProof/>
        </w:rPr>
      </w:pPr>
    </w:p>
    <w:p w14:paraId="151D57E4" w14:textId="77777777" w:rsidR="00804DF0" w:rsidRDefault="00804DF0" w:rsidP="0039148F">
      <w:pPr>
        <w:ind w:left="-567" w:right="-568"/>
        <w:jc w:val="center"/>
        <w:rPr>
          <w:noProof/>
        </w:rPr>
      </w:pPr>
    </w:p>
    <w:p w14:paraId="1CFBBE1A" w14:textId="77777777" w:rsidR="0018049A" w:rsidRDefault="0018049A" w:rsidP="0039148F">
      <w:pPr>
        <w:ind w:left="-567" w:right="-568"/>
        <w:jc w:val="center"/>
        <w:rPr>
          <w:noProof/>
        </w:rPr>
      </w:pPr>
    </w:p>
    <w:p w14:paraId="21C17D21" w14:textId="77777777" w:rsidR="00804DF0" w:rsidRDefault="00804DF0" w:rsidP="0039148F">
      <w:pPr>
        <w:ind w:left="-567" w:right="-568"/>
        <w:jc w:val="center"/>
        <w:rPr>
          <w:noProof/>
        </w:rPr>
      </w:pPr>
    </w:p>
    <w:p w14:paraId="237EC3B0" w14:textId="77777777" w:rsidR="00C375FA" w:rsidRDefault="00C375FA" w:rsidP="0039148F">
      <w:pPr>
        <w:ind w:left="-567" w:right="-568"/>
        <w:jc w:val="center"/>
        <w:rPr>
          <w:rFonts w:ascii="Calibri" w:hAnsi="Calibri"/>
          <w:b/>
          <w:noProof/>
          <w:u w:val="single"/>
        </w:rPr>
      </w:pPr>
    </w:p>
    <w:p w14:paraId="181322C1" w14:textId="77777777" w:rsidR="000A7DA1" w:rsidRDefault="000A7DA1" w:rsidP="0039148F">
      <w:pPr>
        <w:ind w:left="-567" w:right="-568"/>
        <w:jc w:val="center"/>
        <w:rPr>
          <w:rFonts w:ascii="Calibri" w:hAnsi="Calibri"/>
          <w:b/>
          <w:noProof/>
          <w:u w:val="single"/>
        </w:rPr>
      </w:pPr>
    </w:p>
    <w:p w14:paraId="49F45626" w14:textId="33A690F0" w:rsidR="0039148F" w:rsidRPr="000C0D7D" w:rsidRDefault="0039148F" w:rsidP="0039148F">
      <w:pPr>
        <w:ind w:left="-567" w:right="-568"/>
        <w:jc w:val="center"/>
        <w:rPr>
          <w:rFonts w:ascii="Calibri" w:hAnsi="Calibri"/>
          <w:b/>
          <w:noProof/>
          <w:u w:val="single"/>
        </w:rPr>
      </w:pPr>
      <w:r w:rsidRPr="000C0D7D">
        <w:rPr>
          <w:rFonts w:ascii="Calibri" w:hAnsi="Calibri"/>
          <w:b/>
          <w:noProof/>
          <w:u w:val="single"/>
        </w:rPr>
        <w:t>Total suministros de Gas por Grupos de Peajes y tarifas Integrales</w:t>
      </w:r>
    </w:p>
    <w:p w14:paraId="3D99C3A6" w14:textId="77777777" w:rsidR="0039148F" w:rsidRDefault="0039148F" w:rsidP="0039148F">
      <w:pPr>
        <w:ind w:left="-567" w:right="-568"/>
        <w:jc w:val="center"/>
        <w:rPr>
          <w:noProof/>
        </w:rPr>
      </w:pPr>
    </w:p>
    <w:p w14:paraId="4EF39AF5" w14:textId="39720493" w:rsidR="0039148F" w:rsidRDefault="0039148F" w:rsidP="0039148F">
      <w:pPr>
        <w:ind w:left="-142" w:right="-568"/>
        <w:jc w:val="center"/>
        <w:rPr>
          <w:noProof/>
        </w:rPr>
      </w:pPr>
    </w:p>
    <w:p w14:paraId="728C992B" w14:textId="1D9A4879" w:rsidR="0039148F" w:rsidRDefault="000A7DA1" w:rsidP="0039148F">
      <w:pPr>
        <w:ind w:left="-567" w:right="-568"/>
        <w:jc w:val="center"/>
        <w:rPr>
          <w:noProof/>
        </w:rPr>
      </w:pPr>
      <w:r w:rsidRPr="000A7DA1">
        <w:rPr>
          <w:noProof/>
        </w:rPr>
        <w:drawing>
          <wp:inline distT="0" distB="0" distL="0" distR="0" wp14:anchorId="42DB07C6" wp14:editId="67C60B26">
            <wp:extent cx="5610225" cy="5324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039B" w14:textId="23720D75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  <w:r w:rsidRPr="0017434F">
        <w:rPr>
          <w:rFonts w:asciiTheme="majorHAnsi" w:hAnsiTheme="majorHAnsi"/>
          <w:b/>
          <w:i/>
          <w:sz w:val="22"/>
        </w:rPr>
        <w:t xml:space="preserve">Suministros de gas por grupos de peajes y tarifas </w:t>
      </w:r>
      <w:r w:rsidR="00A30D80">
        <w:rPr>
          <w:rFonts w:asciiTheme="majorHAnsi" w:hAnsiTheme="majorHAnsi"/>
          <w:b/>
          <w:i/>
          <w:sz w:val="22"/>
        </w:rPr>
        <w:t>2</w:t>
      </w:r>
      <w:r w:rsidR="00107DE8">
        <w:rPr>
          <w:rFonts w:asciiTheme="majorHAnsi" w:hAnsiTheme="majorHAnsi"/>
          <w:b/>
          <w:i/>
          <w:sz w:val="22"/>
        </w:rPr>
        <w:t>/2018</w:t>
      </w:r>
      <w:r w:rsidR="00CB68D7" w:rsidRPr="0017434F">
        <w:rPr>
          <w:rFonts w:asciiTheme="majorHAnsi" w:hAnsiTheme="majorHAnsi"/>
          <w:b/>
          <w:i/>
          <w:sz w:val="22"/>
        </w:rPr>
        <w:t xml:space="preserve"> /</w:t>
      </w:r>
      <w:r w:rsidR="00A30D80">
        <w:rPr>
          <w:rFonts w:asciiTheme="majorHAnsi" w:hAnsiTheme="majorHAnsi"/>
          <w:b/>
          <w:i/>
          <w:sz w:val="22"/>
        </w:rPr>
        <w:t xml:space="preserve"> 2</w:t>
      </w:r>
      <w:r w:rsidR="009F780A" w:rsidRPr="0017434F">
        <w:rPr>
          <w:rFonts w:asciiTheme="majorHAnsi" w:hAnsiTheme="majorHAnsi"/>
          <w:b/>
          <w:i/>
          <w:sz w:val="22"/>
        </w:rPr>
        <w:t>/</w:t>
      </w:r>
      <w:r w:rsidR="00CB68D7" w:rsidRPr="0017434F">
        <w:rPr>
          <w:rFonts w:asciiTheme="majorHAnsi" w:hAnsiTheme="majorHAnsi"/>
          <w:b/>
          <w:i/>
          <w:sz w:val="22"/>
        </w:rPr>
        <w:t>201</w:t>
      </w:r>
      <w:r w:rsidR="00107DE8">
        <w:rPr>
          <w:rFonts w:asciiTheme="majorHAnsi" w:hAnsiTheme="majorHAnsi"/>
          <w:b/>
          <w:i/>
          <w:sz w:val="22"/>
        </w:rPr>
        <w:t>7</w:t>
      </w:r>
    </w:p>
    <w:p w14:paraId="37E003E3" w14:textId="77777777" w:rsidR="0039148F" w:rsidRPr="0017434F" w:rsidRDefault="0039148F" w:rsidP="0039148F">
      <w:pPr>
        <w:ind w:left="-567" w:right="-568"/>
        <w:jc w:val="center"/>
        <w:rPr>
          <w:rFonts w:asciiTheme="majorHAnsi" w:hAnsiTheme="majorHAnsi"/>
          <w:b/>
          <w:i/>
          <w:sz w:val="22"/>
        </w:rPr>
      </w:pPr>
      <w:r w:rsidRPr="0017434F">
        <w:rPr>
          <w:rFonts w:asciiTheme="majorHAnsi" w:hAnsiTheme="majorHAnsi"/>
          <w:b/>
          <w:i/>
          <w:sz w:val="22"/>
        </w:rPr>
        <w:t>Fuente: CNMC</w:t>
      </w:r>
    </w:p>
    <w:p w14:paraId="3B8DA689" w14:textId="77777777" w:rsidR="0039148F" w:rsidRDefault="0039148F" w:rsidP="00E53EC3">
      <w:pPr>
        <w:jc w:val="center"/>
        <w:rPr>
          <w:rFonts w:asciiTheme="majorHAnsi" w:hAnsiTheme="majorHAnsi"/>
          <w:b/>
          <w:u w:val="single"/>
        </w:rPr>
      </w:pPr>
    </w:p>
    <w:sectPr w:rsidR="0039148F" w:rsidSect="00883E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27" w:right="1701" w:bottom="241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B54E" w14:textId="77777777" w:rsidR="00E253C5" w:rsidRDefault="00E253C5" w:rsidP="000E753C">
      <w:r>
        <w:separator/>
      </w:r>
    </w:p>
  </w:endnote>
  <w:endnote w:type="continuationSeparator" w:id="0">
    <w:p w14:paraId="3EAC4989" w14:textId="77777777" w:rsidR="00E253C5" w:rsidRDefault="00E253C5" w:rsidP="000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7BA7" w14:textId="77777777" w:rsidR="00391681" w:rsidRDefault="003916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FAA1" w14:textId="4490DEC8" w:rsidR="00F61858" w:rsidRDefault="00883E0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6A108F" wp14:editId="76BDCC49">
              <wp:simplePos x="0" y="0"/>
              <wp:positionH relativeFrom="column">
                <wp:posOffset>2095500</wp:posOffset>
              </wp:positionH>
              <wp:positionV relativeFrom="paragraph">
                <wp:posOffset>-65305</wp:posOffset>
              </wp:positionV>
              <wp:extent cx="2171700" cy="3429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7A2AC0" w14:textId="77777777" w:rsidR="00883E0B" w:rsidRPr="00A32517" w:rsidRDefault="00883E0B" w:rsidP="00883E0B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66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666666"/>
                              <w:sz w:val="22"/>
                              <w:szCs w:val="22"/>
                            </w:rPr>
                            <w:t>Comisión de Industria y Energía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A108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65pt;margin-top:-5.15pt;width:171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aOrAIAAKoFAAAOAAAAZHJzL2Uyb0RvYy54bWysVMFu2zAMvQ/YPwi6p7Yzt2mMOoWbIsOA&#10;oi3WDj0rstQYs0VNUmJnw/59lGynWbdLh11sinykyEdS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" filled="f" stroked="f">
              <v:textbox>
                <w:txbxContent>
                  <w:p w14:paraId="7B7A2AC0" w14:textId="77777777" w:rsidR="00883E0B" w:rsidRPr="00A32517" w:rsidRDefault="00883E0B" w:rsidP="00883E0B">
                    <w:pPr>
                      <w:jc w:val="center"/>
                      <w:rPr>
                        <w:rFonts w:ascii="Calibri" w:hAnsi="Calibri"/>
                        <w:i/>
                        <w:color w:val="666666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i/>
                        <w:color w:val="666666"/>
                        <w:sz w:val="22"/>
                        <w:szCs w:val="22"/>
                      </w:rPr>
                      <w:t>Comisión de Industria y Energía</w:t>
                    </w:r>
                  </w:p>
                </w:txbxContent>
              </v:textbox>
            </v:shape>
          </w:pict>
        </mc:Fallback>
      </mc:AlternateContent>
    </w:r>
    <w:r w:rsidR="00804DF0">
      <w:rPr>
        <w:noProof/>
        <w:color w:val="1F497D"/>
      </w:rPr>
      <w:drawing>
        <wp:inline distT="0" distB="0" distL="0" distR="0" wp14:anchorId="38E0FC3A" wp14:editId="486A799C">
          <wp:extent cx="1220921" cy="301259"/>
          <wp:effectExtent l="0" t="0" r="0" b="3810"/>
          <wp:docPr id="13" name="Imagen 13" descr="cid:image004.jpg@01D39B43.98251E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4.jpg@01D39B43.98251E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12" cy="301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58">
      <w:rPr>
        <w:noProof/>
      </w:rPr>
      <w:drawing>
        <wp:anchor distT="0" distB="0" distL="114300" distR="114300" simplePos="0" relativeHeight="251668480" behindDoc="1" locked="0" layoutInCell="1" allowOverlap="1" wp14:anchorId="15A35241" wp14:editId="2E282D4C">
          <wp:simplePos x="0" y="0"/>
          <wp:positionH relativeFrom="margin">
            <wp:posOffset>4536440</wp:posOffset>
          </wp:positionH>
          <wp:positionV relativeFrom="margin">
            <wp:posOffset>7781290</wp:posOffset>
          </wp:positionV>
          <wp:extent cx="1531620" cy="1534160"/>
          <wp:effectExtent l="0" t="0" r="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15:CEOE:Publicaciones finales:Publicaciones Internas:pdf:jpg:ceoe_publicaciones_internas_ 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05" t="38706" r="10558" b="46958"/>
                  <a:stretch/>
                </pic:blipFill>
                <pic:spPr bwMode="auto">
                  <a:xfrm>
                    <a:off x="0" y="0"/>
                    <a:ext cx="153162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BA42D" w14:textId="35BEC74A" w:rsidR="00A32517" w:rsidRDefault="00846497">
    <w:pPr>
      <w:pStyle w:val="Piedepgina"/>
    </w:pPr>
    <w:r w:rsidRPr="0084649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6B515" wp14:editId="6081C593">
              <wp:simplePos x="0" y="0"/>
              <wp:positionH relativeFrom="column">
                <wp:posOffset>5681980</wp:posOffset>
              </wp:positionH>
              <wp:positionV relativeFrom="paragraph">
                <wp:posOffset>-71120</wp:posOffset>
              </wp:positionV>
              <wp:extent cx="426720" cy="243840"/>
              <wp:effectExtent l="0" t="0" r="0" b="381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22FA4" w14:textId="77777777" w:rsidR="00846497" w:rsidRPr="002443E6" w:rsidRDefault="00846497" w:rsidP="00846497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049A">
                            <w:rPr>
                              <w:rFonts w:asciiTheme="majorHAnsi" w:hAnsiTheme="majorHAns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443E6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6B515" id="_x0000_s1030" type="#_x0000_t202" style="position:absolute;margin-left:447.4pt;margin-top:-5.6pt;width:33.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" stroked="f">
              <v:textbox>
                <w:txbxContent>
                  <w:p w14:paraId="26322FA4" w14:textId="77777777" w:rsidR="00846497" w:rsidRPr="002443E6" w:rsidRDefault="00846497" w:rsidP="00846497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instrText>PAGE   \* MERGEFORMAT</w:instrText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="0018049A">
                      <w:rPr>
                        <w:rFonts w:asciiTheme="majorHAnsi" w:hAnsiTheme="majorHAnsi"/>
                        <w:noProof/>
                        <w:sz w:val="22"/>
                        <w:szCs w:val="22"/>
                      </w:rPr>
                      <w:t>5</w:t>
                    </w:r>
                    <w:r w:rsidRPr="002443E6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8A80" w14:textId="77777777" w:rsidR="00391681" w:rsidRDefault="00391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38261" w14:textId="77777777" w:rsidR="00E253C5" w:rsidRDefault="00E253C5" w:rsidP="000E753C">
      <w:r>
        <w:separator/>
      </w:r>
    </w:p>
  </w:footnote>
  <w:footnote w:type="continuationSeparator" w:id="0">
    <w:p w14:paraId="7DFC161C" w14:textId="77777777" w:rsidR="00E253C5" w:rsidRDefault="00E253C5" w:rsidP="000E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DE6B" w14:textId="77777777" w:rsidR="00391681" w:rsidRDefault="003916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A761" w14:textId="5FAC7EA5" w:rsidR="00F61858" w:rsidRDefault="00F6185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7455" behindDoc="1" locked="0" layoutInCell="1" allowOverlap="1" wp14:anchorId="5C735C29" wp14:editId="7A305ECF">
          <wp:simplePos x="0" y="0"/>
          <wp:positionH relativeFrom="margin">
            <wp:posOffset>2645410</wp:posOffset>
          </wp:positionH>
          <wp:positionV relativeFrom="margin">
            <wp:posOffset>-1332230</wp:posOffset>
          </wp:positionV>
          <wp:extent cx="1278890" cy="123952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15:CEOE:Publicaciones finales:Publicaciones Internas:pdf:jpg:ceoe_publicaciones_internas_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2" t="20322" r="32614" b="65910"/>
                  <a:stretch/>
                </pic:blipFill>
                <pic:spPr bwMode="auto">
                  <a:xfrm>
                    <a:off x="0" y="0"/>
                    <a:ext cx="127889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91410" w14:textId="3C26643D" w:rsidR="00F61858" w:rsidRDefault="00F61858">
    <w:pPr>
      <w:pStyle w:val="Encabezado"/>
      <w:rPr>
        <w:noProof/>
      </w:rPr>
    </w:pPr>
  </w:p>
  <w:p w14:paraId="3BF46EA2" w14:textId="1189C617" w:rsidR="00F61858" w:rsidRDefault="00F61858">
    <w:pPr>
      <w:pStyle w:val="Encabezado"/>
    </w:pPr>
  </w:p>
  <w:p w14:paraId="2D11F997" w14:textId="6A530B72" w:rsidR="00A32517" w:rsidRDefault="00A32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1DA5" w14:textId="77777777" w:rsidR="00391681" w:rsidRDefault="003916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092"/>
    <w:multiLevelType w:val="hybridMultilevel"/>
    <w:tmpl w:val="8340B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053"/>
    <w:multiLevelType w:val="hybridMultilevel"/>
    <w:tmpl w:val="6F3E35E0"/>
    <w:lvl w:ilvl="0" w:tplc="040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 w15:restartNumberingAfterBreak="0">
    <w:nsid w:val="2AEF4D50"/>
    <w:multiLevelType w:val="hybridMultilevel"/>
    <w:tmpl w:val="9378DCDA"/>
    <w:lvl w:ilvl="0" w:tplc="410A9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04BA"/>
    <w:multiLevelType w:val="hybridMultilevel"/>
    <w:tmpl w:val="6CFA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507E"/>
    <w:multiLevelType w:val="hybridMultilevel"/>
    <w:tmpl w:val="0B1EE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79"/>
    <w:rsid w:val="00030D5F"/>
    <w:rsid w:val="00070AF6"/>
    <w:rsid w:val="000810EF"/>
    <w:rsid w:val="00092CD3"/>
    <w:rsid w:val="000A7DA1"/>
    <w:rsid w:val="000B22CB"/>
    <w:rsid w:val="000C5DCB"/>
    <w:rsid w:val="000D4ECD"/>
    <w:rsid w:val="000E753C"/>
    <w:rsid w:val="00107DE8"/>
    <w:rsid w:val="0014548B"/>
    <w:rsid w:val="00154B5E"/>
    <w:rsid w:val="001625B8"/>
    <w:rsid w:val="0017434F"/>
    <w:rsid w:val="0018049A"/>
    <w:rsid w:val="00191D8F"/>
    <w:rsid w:val="001945A2"/>
    <w:rsid w:val="001C0173"/>
    <w:rsid w:val="001E6E8E"/>
    <w:rsid w:val="001F3539"/>
    <w:rsid w:val="00222E86"/>
    <w:rsid w:val="00234656"/>
    <w:rsid w:val="002443E6"/>
    <w:rsid w:val="00262EB5"/>
    <w:rsid w:val="002C5E9A"/>
    <w:rsid w:val="002D0FD5"/>
    <w:rsid w:val="0030592F"/>
    <w:rsid w:val="00331710"/>
    <w:rsid w:val="003360CB"/>
    <w:rsid w:val="0034437B"/>
    <w:rsid w:val="0039148F"/>
    <w:rsid w:val="00391681"/>
    <w:rsid w:val="003D0459"/>
    <w:rsid w:val="00435C06"/>
    <w:rsid w:val="004662C4"/>
    <w:rsid w:val="0047739C"/>
    <w:rsid w:val="004A61F2"/>
    <w:rsid w:val="004B49BA"/>
    <w:rsid w:val="004B6031"/>
    <w:rsid w:val="00516EF6"/>
    <w:rsid w:val="0052306B"/>
    <w:rsid w:val="00523889"/>
    <w:rsid w:val="00556759"/>
    <w:rsid w:val="0055740A"/>
    <w:rsid w:val="0055743A"/>
    <w:rsid w:val="005854F6"/>
    <w:rsid w:val="005A61C5"/>
    <w:rsid w:val="005B777C"/>
    <w:rsid w:val="005D51F7"/>
    <w:rsid w:val="005E6E7A"/>
    <w:rsid w:val="005F2E18"/>
    <w:rsid w:val="006129E3"/>
    <w:rsid w:val="00612A19"/>
    <w:rsid w:val="006162AF"/>
    <w:rsid w:val="006568CC"/>
    <w:rsid w:val="0065742C"/>
    <w:rsid w:val="00692BF9"/>
    <w:rsid w:val="006B3534"/>
    <w:rsid w:val="006B6274"/>
    <w:rsid w:val="00731552"/>
    <w:rsid w:val="0076556E"/>
    <w:rsid w:val="007A16F2"/>
    <w:rsid w:val="007F7887"/>
    <w:rsid w:val="00804DF0"/>
    <w:rsid w:val="008067AC"/>
    <w:rsid w:val="00825F83"/>
    <w:rsid w:val="00846497"/>
    <w:rsid w:val="008628D4"/>
    <w:rsid w:val="0087141B"/>
    <w:rsid w:val="0088260C"/>
    <w:rsid w:val="00883E0B"/>
    <w:rsid w:val="008919AD"/>
    <w:rsid w:val="008A08C3"/>
    <w:rsid w:val="008A4DA0"/>
    <w:rsid w:val="008B34BB"/>
    <w:rsid w:val="00933483"/>
    <w:rsid w:val="00955F06"/>
    <w:rsid w:val="00967F92"/>
    <w:rsid w:val="00972CFB"/>
    <w:rsid w:val="00973491"/>
    <w:rsid w:val="009868A2"/>
    <w:rsid w:val="009B4460"/>
    <w:rsid w:val="009E3F54"/>
    <w:rsid w:val="009F780A"/>
    <w:rsid w:val="00A13D44"/>
    <w:rsid w:val="00A30D80"/>
    <w:rsid w:val="00A32517"/>
    <w:rsid w:val="00A5017E"/>
    <w:rsid w:val="00A523FB"/>
    <w:rsid w:val="00A534C3"/>
    <w:rsid w:val="00A94F3B"/>
    <w:rsid w:val="00A952D8"/>
    <w:rsid w:val="00A975DF"/>
    <w:rsid w:val="00AF2DF7"/>
    <w:rsid w:val="00B07440"/>
    <w:rsid w:val="00B34D44"/>
    <w:rsid w:val="00B47479"/>
    <w:rsid w:val="00B57549"/>
    <w:rsid w:val="00B60B65"/>
    <w:rsid w:val="00B8032C"/>
    <w:rsid w:val="00B824E0"/>
    <w:rsid w:val="00B82BB6"/>
    <w:rsid w:val="00B939CC"/>
    <w:rsid w:val="00B97BF8"/>
    <w:rsid w:val="00BF2FE0"/>
    <w:rsid w:val="00C0726B"/>
    <w:rsid w:val="00C1697F"/>
    <w:rsid w:val="00C3163D"/>
    <w:rsid w:val="00C375FA"/>
    <w:rsid w:val="00C444E7"/>
    <w:rsid w:val="00C62CBF"/>
    <w:rsid w:val="00C70C07"/>
    <w:rsid w:val="00CA08BD"/>
    <w:rsid w:val="00CA0F3D"/>
    <w:rsid w:val="00CB68D7"/>
    <w:rsid w:val="00CD6026"/>
    <w:rsid w:val="00D165D1"/>
    <w:rsid w:val="00D17310"/>
    <w:rsid w:val="00D23BA9"/>
    <w:rsid w:val="00D56266"/>
    <w:rsid w:val="00D770C4"/>
    <w:rsid w:val="00DB69CC"/>
    <w:rsid w:val="00DC3B00"/>
    <w:rsid w:val="00E253C5"/>
    <w:rsid w:val="00E52301"/>
    <w:rsid w:val="00E53EC3"/>
    <w:rsid w:val="00E67AEA"/>
    <w:rsid w:val="00EC1F58"/>
    <w:rsid w:val="00EC49ED"/>
    <w:rsid w:val="00EE7B11"/>
    <w:rsid w:val="00F04712"/>
    <w:rsid w:val="00F47518"/>
    <w:rsid w:val="00F50747"/>
    <w:rsid w:val="00F61858"/>
    <w:rsid w:val="00F66A65"/>
    <w:rsid w:val="00FB3BDD"/>
    <w:rsid w:val="00FC4C8E"/>
    <w:rsid w:val="00FC72C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DBC54"/>
  <w14:defaultImageDpi w14:val="300"/>
  <w15:docId w15:val="{A98B17AA-1F5B-4E91-BBEE-26FBFB41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47479"/>
    <w:pPr>
      <w:widowControl w:val="0"/>
      <w:ind w:left="20"/>
    </w:pPr>
    <w:rPr>
      <w:rFonts w:ascii="Calibri" w:eastAsia="Calibri" w:hAnsi="Calibri"/>
      <w:sz w:val="74"/>
      <w:szCs w:val="7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7479"/>
    <w:rPr>
      <w:rFonts w:ascii="Calibri" w:eastAsia="Calibri" w:hAnsi="Calibri"/>
      <w:sz w:val="74"/>
      <w:szCs w:val="7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4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47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53C"/>
  </w:style>
  <w:style w:type="paragraph" w:styleId="Piedepgina">
    <w:name w:val="footer"/>
    <w:basedOn w:val="Normal"/>
    <w:link w:val="PiedepginaCar"/>
    <w:uiPriority w:val="99"/>
    <w:unhideWhenUsed/>
    <w:rsid w:val="000E75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53C"/>
  </w:style>
  <w:style w:type="paragraph" w:styleId="Prrafodelista">
    <w:name w:val="List Paragraph"/>
    <w:basedOn w:val="Normal"/>
    <w:uiPriority w:val="34"/>
    <w:qFormat/>
    <w:rsid w:val="00E53EC3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53E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EC3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6B353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85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nmc.es/sites/default/files/1987681_0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cid:image004.jpg@01D39B43.98251EC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cid:image004.jpg@01D39B43.98251EC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Alonso</dc:creator>
  <cp:lastModifiedBy>Albertos García, Iván</cp:lastModifiedBy>
  <cp:revision>3</cp:revision>
  <dcterms:created xsi:type="dcterms:W3CDTF">2018-05-04T07:37:00Z</dcterms:created>
  <dcterms:modified xsi:type="dcterms:W3CDTF">2018-05-04T07:42:00Z</dcterms:modified>
</cp:coreProperties>
</file>