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C5DD" w14:textId="4D6EBEAC" w:rsidR="00B47479" w:rsidRDefault="00846497" w:rsidP="00B474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E4EE75" wp14:editId="3AFE819B">
                <wp:simplePos x="0" y="0"/>
                <wp:positionH relativeFrom="page">
                  <wp:posOffset>962025</wp:posOffset>
                </wp:positionH>
                <wp:positionV relativeFrom="page">
                  <wp:posOffset>1463040</wp:posOffset>
                </wp:positionV>
                <wp:extent cx="5586730" cy="1847850"/>
                <wp:effectExtent l="0" t="0" r="13970" b="0"/>
                <wp:wrapThrough wrapText="bothSides">
                  <wp:wrapPolygon edited="0">
                    <wp:start x="0" y="0"/>
                    <wp:lineTo x="0" y="21377"/>
                    <wp:lineTo x="21580" y="21377"/>
                    <wp:lineTo x="21580" y="0"/>
                    <wp:lineTo x="0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DED79" w14:textId="6D12D866" w:rsidR="009805CB" w:rsidRPr="0030326E" w:rsidRDefault="009805CB" w:rsidP="009805CB">
                            <w:pPr>
                              <w:spacing w:before="48" w:line="187" w:lineRule="auto"/>
                              <w:ind w:left="423" w:right="18" w:firstLine="78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mallCaps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 xml:space="preserve">INFORME SOBRE LA LIQUIDACIÓN PROVISIONAL </w:t>
                            </w:r>
                            <w:r w:rsidR="00F727BD"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>/201</w:t>
                            </w:r>
                            <w:r w:rsidR="00EE54DF"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 xml:space="preserve"> DE ELECTRICIDAD</w:t>
                            </w:r>
                          </w:p>
                          <w:p w14:paraId="5A7FAB26" w14:textId="5417C888" w:rsidR="00A32517" w:rsidRPr="0030326E" w:rsidRDefault="00A32517" w:rsidP="008A08C3">
                            <w:pPr>
                              <w:spacing w:before="48" w:line="187" w:lineRule="auto"/>
                              <w:ind w:left="423" w:right="18" w:firstLine="78"/>
                              <w:jc w:val="right"/>
                              <w:rPr>
                                <w:rFonts w:ascii="Calibri" w:eastAsia="Calibri" w:hAnsi="Calibri" w:cs="Calibri"/>
                                <w:i/>
                                <w:smallCaps/>
                                <w:sz w:val="67"/>
                                <w:szCs w:val="6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EE7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5.75pt;margin-top:115.2pt;width:439.9pt;height:145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" filled="f" stroked="f">
                <v:textbox inset="0,0,0,0">
                  <w:txbxContent>
                    <w:p w14:paraId="061DED79" w14:textId="6D12D866" w:rsidR="009805CB" w:rsidRPr="0030326E" w:rsidRDefault="009805CB" w:rsidP="009805CB">
                      <w:pPr>
                        <w:spacing w:before="48" w:line="187" w:lineRule="auto"/>
                        <w:ind w:left="423" w:right="18" w:firstLine="78"/>
                        <w:jc w:val="center"/>
                        <w:rPr>
                          <w:rFonts w:ascii="Calibri" w:eastAsia="Calibri" w:hAnsi="Calibri" w:cs="Calibri"/>
                          <w:i/>
                          <w:smallCaps/>
                          <w:sz w:val="67"/>
                          <w:szCs w:val="67"/>
                        </w:rPr>
                      </w:pPr>
                      <w:r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 xml:space="preserve">INFORME SOBRE LA LIQUIDACIÓN PROVISIONAL </w:t>
                      </w:r>
                      <w:r w:rsidR="00F727BD"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>2</w:t>
                      </w:r>
                      <w:r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>/201</w:t>
                      </w:r>
                      <w:r w:rsidR="00EE54DF"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>8</w:t>
                      </w:r>
                      <w:r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 xml:space="preserve"> DE ELECTRICIDAD</w:t>
                      </w:r>
                    </w:p>
                    <w:p w14:paraId="5A7FAB26" w14:textId="5417C888" w:rsidR="00A32517" w:rsidRPr="0030326E" w:rsidRDefault="00A32517" w:rsidP="008A08C3">
                      <w:pPr>
                        <w:spacing w:before="48" w:line="187" w:lineRule="auto"/>
                        <w:ind w:left="423" w:right="18" w:firstLine="78"/>
                        <w:jc w:val="right"/>
                        <w:rPr>
                          <w:rFonts w:ascii="Calibri" w:eastAsia="Calibri" w:hAnsi="Calibri" w:cs="Calibri"/>
                          <w:i/>
                          <w:smallCaps/>
                          <w:sz w:val="67"/>
                          <w:szCs w:val="67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5379A21" w14:textId="5FAD11B0" w:rsidR="00B47479" w:rsidRDefault="001C6D43" w:rsidP="00B47479">
      <w:r>
        <w:rPr>
          <w:noProof/>
        </w:rPr>
        <w:drawing>
          <wp:anchor distT="0" distB="0" distL="114300" distR="114300" simplePos="0" relativeHeight="251677183" behindDoc="1" locked="0" layoutInCell="1" allowOverlap="1" wp14:anchorId="1F2C8C8E" wp14:editId="4DCF6751">
            <wp:simplePos x="0" y="0"/>
            <wp:positionH relativeFrom="margin">
              <wp:posOffset>2561590</wp:posOffset>
            </wp:positionH>
            <wp:positionV relativeFrom="margin">
              <wp:posOffset>2216785</wp:posOffset>
            </wp:positionV>
            <wp:extent cx="3359150" cy="436943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15:CEOE:Publicaciones finales:Publicaciones Internas:pdf:jpg:ceoe_publicaciones_internas_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8" t="12205" r="10558" b="46958"/>
                    <a:stretch/>
                  </pic:blipFill>
                  <pic:spPr bwMode="auto">
                    <a:xfrm>
                      <a:off x="0" y="0"/>
                      <a:ext cx="3359150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0E4F0" w14:textId="2D16D318" w:rsidR="00B47479" w:rsidRDefault="00B47479" w:rsidP="00B47479"/>
    <w:p w14:paraId="15FBBC42" w14:textId="77777777" w:rsidR="00B47479" w:rsidRDefault="00B47479" w:rsidP="00B47479"/>
    <w:p w14:paraId="7571E732" w14:textId="77777777" w:rsidR="00B47479" w:rsidRDefault="00B47479" w:rsidP="00B47479"/>
    <w:p w14:paraId="2DBF6459" w14:textId="77777777" w:rsidR="00B47479" w:rsidRDefault="00B47479" w:rsidP="00B47479"/>
    <w:p w14:paraId="2279757D" w14:textId="77777777" w:rsidR="00B47479" w:rsidRDefault="00B47479" w:rsidP="00B47479"/>
    <w:p w14:paraId="289CF701" w14:textId="77777777" w:rsidR="00B47479" w:rsidRDefault="00B47479" w:rsidP="00B47479"/>
    <w:p w14:paraId="28BCBCDA" w14:textId="77777777" w:rsidR="00B47479" w:rsidRDefault="00B47479" w:rsidP="00B47479"/>
    <w:p w14:paraId="6BA5C8B7" w14:textId="77777777" w:rsidR="00B47479" w:rsidRDefault="00B47479" w:rsidP="00B47479"/>
    <w:p w14:paraId="5212064C" w14:textId="5F33D981" w:rsidR="00B47479" w:rsidRDefault="00B47479" w:rsidP="00B47479"/>
    <w:p w14:paraId="18886827" w14:textId="21D3F90F" w:rsidR="00B47479" w:rsidRDefault="00B47479" w:rsidP="00B47479"/>
    <w:p w14:paraId="44107224" w14:textId="5C06751C" w:rsidR="00B47479" w:rsidRDefault="001C6D43" w:rsidP="00B4747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90D198" wp14:editId="5B29C120">
                <wp:simplePos x="0" y="0"/>
                <wp:positionH relativeFrom="page">
                  <wp:posOffset>4023360</wp:posOffset>
                </wp:positionH>
                <wp:positionV relativeFrom="page">
                  <wp:posOffset>5597525</wp:posOffset>
                </wp:positionV>
                <wp:extent cx="2487930" cy="844550"/>
                <wp:effectExtent l="0" t="0" r="7620" b="12700"/>
                <wp:wrapThrough wrapText="bothSides">
                  <wp:wrapPolygon edited="0">
                    <wp:start x="0" y="0"/>
                    <wp:lineTo x="0" y="21438"/>
                    <wp:lineTo x="21501" y="21438"/>
                    <wp:lineTo x="21501" y="0"/>
                    <wp:lineTo x="0" y="0"/>
                  </wp:wrapPolygon>
                </wp:wrapThrough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0AC9F" w14:textId="3A5FFF98" w:rsidR="00A32517" w:rsidRPr="00A644BE" w:rsidRDefault="00A32517" w:rsidP="008A4DA0">
                            <w:pPr>
                              <w:spacing w:line="726" w:lineRule="exact"/>
                              <w:ind w:left="20"/>
                              <w:jc w:val="right"/>
                              <w:rPr>
                                <w:rFonts w:ascii="Calibri" w:eastAsia="Calibri" w:hAnsi="Calibri" w:cs="Calibri"/>
                                <w:smallCaps/>
                                <w:sz w:val="67"/>
                                <w:szCs w:val="67"/>
                              </w:rPr>
                            </w:pPr>
                            <w:r w:rsidRPr="00A644BE">
                              <w:rPr>
                                <w:rFonts w:ascii="Calibri" w:hAnsi="Calibri"/>
                                <w:smallCaps/>
                                <w:color w:val="112269"/>
                                <w:spacing w:val="-3"/>
                                <w:sz w:val="67"/>
                                <w:szCs w:val="67"/>
                              </w:rPr>
                              <w:t>Nota</w:t>
                            </w:r>
                            <w:r w:rsidR="00E53EC3">
                              <w:rPr>
                                <w:rFonts w:ascii="Calibri" w:hAnsi="Calibri"/>
                                <w:smallCaps/>
                                <w:color w:val="112269"/>
                                <w:spacing w:val="-3"/>
                                <w:sz w:val="67"/>
                                <w:szCs w:val="67"/>
                              </w:rPr>
                              <w:t xml:space="preserve"> Resumen</w:t>
                            </w:r>
                            <w:r w:rsidRPr="00A644BE">
                              <w:rPr>
                                <w:rFonts w:ascii="Calibri" w:hAnsi="Calibri"/>
                                <w:smallCaps/>
                                <w:color w:val="112269"/>
                                <w:spacing w:val="30"/>
                                <w:sz w:val="67"/>
                                <w:szCs w:val="67"/>
                              </w:rPr>
                              <w:t xml:space="preserve"> </w:t>
                            </w:r>
                          </w:p>
                          <w:p w14:paraId="5DEB131F" w14:textId="0944B931" w:rsidR="00A32517" w:rsidRPr="002443E6" w:rsidRDefault="00E1539F" w:rsidP="00846497">
                            <w:pPr>
                              <w:contextualSpacing/>
                              <w:jc w:val="right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>4</w:t>
                            </w:r>
                            <w:r w:rsidR="00464E5D"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>mayo</w:t>
                            </w:r>
                            <w:r w:rsidR="00E53EC3"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 xml:space="preserve"> de 201</w:t>
                            </w:r>
                            <w:r w:rsidR="00B860E9"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>8</w:t>
                            </w:r>
                            <w:r w:rsidR="00A32517" w:rsidRPr="002443E6">
                              <w:rPr>
                                <w:i/>
                                <w:color w:val="AA1A3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D198" id="Cuadro de texto 26" o:spid="_x0000_s1027" type="#_x0000_t202" style="position:absolute;margin-left:316.8pt;margin-top:440.75pt;width:195.9pt;height:66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" filled="f" stroked="f">
                <v:textbox inset="0,0,0,0">
                  <w:txbxContent>
                    <w:p w14:paraId="3D00AC9F" w14:textId="3A5FFF98" w:rsidR="00A32517" w:rsidRPr="00A644BE" w:rsidRDefault="00A32517" w:rsidP="008A4DA0">
                      <w:pPr>
                        <w:spacing w:line="726" w:lineRule="exact"/>
                        <w:ind w:left="20"/>
                        <w:jc w:val="right"/>
                        <w:rPr>
                          <w:rFonts w:ascii="Calibri" w:eastAsia="Calibri" w:hAnsi="Calibri" w:cs="Calibri"/>
                          <w:smallCaps/>
                          <w:sz w:val="67"/>
                          <w:szCs w:val="67"/>
                        </w:rPr>
                      </w:pPr>
                      <w:r w:rsidRPr="00A644BE">
                        <w:rPr>
                          <w:rFonts w:ascii="Calibri" w:hAnsi="Calibri"/>
                          <w:smallCaps/>
                          <w:color w:val="112269"/>
                          <w:spacing w:val="-3"/>
                          <w:sz w:val="67"/>
                          <w:szCs w:val="67"/>
                        </w:rPr>
                        <w:t>Nota</w:t>
                      </w:r>
                      <w:r w:rsidR="00E53EC3">
                        <w:rPr>
                          <w:rFonts w:ascii="Calibri" w:hAnsi="Calibri"/>
                          <w:smallCaps/>
                          <w:color w:val="112269"/>
                          <w:spacing w:val="-3"/>
                          <w:sz w:val="67"/>
                          <w:szCs w:val="67"/>
                        </w:rPr>
                        <w:t xml:space="preserve"> Resumen</w:t>
                      </w:r>
                      <w:r w:rsidRPr="00A644BE">
                        <w:rPr>
                          <w:rFonts w:ascii="Calibri" w:hAnsi="Calibri"/>
                          <w:smallCaps/>
                          <w:color w:val="112269"/>
                          <w:spacing w:val="30"/>
                          <w:sz w:val="67"/>
                          <w:szCs w:val="67"/>
                        </w:rPr>
                        <w:t xml:space="preserve"> </w:t>
                      </w:r>
                    </w:p>
                    <w:p w14:paraId="5DEB131F" w14:textId="0944B931" w:rsidR="00A32517" w:rsidRPr="002443E6" w:rsidRDefault="00E1539F" w:rsidP="00846497">
                      <w:pPr>
                        <w:contextualSpacing/>
                        <w:jc w:val="right"/>
                        <w:rPr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>4</w:t>
                      </w:r>
                      <w:r w:rsidR="00464E5D"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 xml:space="preserve"> de </w:t>
                      </w:r>
                      <w:r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>mayo</w:t>
                      </w:r>
                      <w:r w:rsidR="00E53EC3"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 xml:space="preserve"> de 201</w:t>
                      </w:r>
                      <w:r w:rsidR="00B860E9"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>8</w:t>
                      </w:r>
                      <w:r w:rsidR="00A32517" w:rsidRPr="002443E6">
                        <w:rPr>
                          <w:i/>
                          <w:color w:val="AA1A3F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55AAFB6" w14:textId="73263515" w:rsidR="002443E6" w:rsidRDefault="002443E6">
      <w:pPr>
        <w:rPr>
          <w:noProof/>
        </w:rPr>
      </w:pPr>
    </w:p>
    <w:p w14:paraId="45F79DFA" w14:textId="3BBF2DE2" w:rsidR="00B47479" w:rsidRDefault="003E1A97">
      <w:r>
        <w:rPr>
          <w:noProof/>
        </w:rPr>
        <w:drawing>
          <wp:anchor distT="0" distB="0" distL="114300" distR="114300" simplePos="0" relativeHeight="251682816" behindDoc="0" locked="0" layoutInCell="1" allowOverlap="1" wp14:anchorId="5761412A" wp14:editId="11E65684">
            <wp:simplePos x="0" y="0"/>
            <wp:positionH relativeFrom="column">
              <wp:posOffset>-125095</wp:posOffset>
            </wp:positionH>
            <wp:positionV relativeFrom="paragraph">
              <wp:posOffset>2366010</wp:posOffset>
            </wp:positionV>
            <wp:extent cx="1628775" cy="40703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E6"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3765A" wp14:editId="236DD1E3">
                <wp:simplePos x="0" y="0"/>
                <wp:positionH relativeFrom="column">
                  <wp:posOffset>591820</wp:posOffset>
                </wp:positionH>
                <wp:positionV relativeFrom="paragraph">
                  <wp:posOffset>3088005</wp:posOffset>
                </wp:positionV>
                <wp:extent cx="5417185" cy="34861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CDC0" w14:textId="7CE6CCE6" w:rsidR="002443E6" w:rsidRPr="00556759" w:rsidRDefault="002443E6" w:rsidP="002443E6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556759">
                              <w:rPr>
                                <w:rFonts w:asciiTheme="majorHAnsi" w:hAnsiTheme="majorHAnsi"/>
                                <w:i/>
                                <w:color w:val="002060"/>
                                <w:sz w:val="32"/>
                                <w:szCs w:val="28"/>
                              </w:rPr>
                              <w:t>Departamento de Asuntos</w:t>
                            </w:r>
                            <w:r w:rsidR="00556759" w:rsidRPr="00556759">
                              <w:rPr>
                                <w:rFonts w:asciiTheme="majorHAnsi" w:hAnsiTheme="majorHAnsi"/>
                                <w:i/>
                                <w:color w:val="00206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556759">
                              <w:rPr>
                                <w:rFonts w:asciiTheme="majorHAnsi" w:hAnsiTheme="majorHAnsi"/>
                                <w:i/>
                                <w:color w:val="002060"/>
                                <w:sz w:val="32"/>
                                <w:szCs w:val="28"/>
                              </w:rPr>
                              <w:t>Económicos y Europeos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37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46.6pt;margin-top:243.15pt;width:426.55pt;height:27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" filled="f" stroked="f">
                <v:textbox style="mso-fit-shape-to-text:t">
                  <w:txbxContent>
                    <w:p w14:paraId="01FBCDC0" w14:textId="7CE6CCE6" w:rsidR="002443E6" w:rsidRPr="00556759" w:rsidRDefault="002443E6" w:rsidP="002443E6">
                      <w:pPr>
                        <w:jc w:val="right"/>
                        <w:rPr>
                          <w:rFonts w:asciiTheme="majorHAnsi" w:hAnsiTheme="majorHAnsi"/>
                          <w:i/>
                          <w:color w:val="002060"/>
                          <w:sz w:val="32"/>
                          <w:szCs w:val="28"/>
                        </w:rPr>
                      </w:pPr>
                      <w:r w:rsidRPr="00556759">
                        <w:rPr>
                          <w:rFonts w:asciiTheme="majorHAnsi" w:hAnsiTheme="majorHAnsi"/>
                          <w:i/>
                          <w:color w:val="002060"/>
                          <w:sz w:val="32"/>
                          <w:szCs w:val="28"/>
                        </w:rPr>
                        <w:t>Departamento de Asuntos</w:t>
                      </w:r>
                      <w:r w:rsidR="00556759" w:rsidRPr="00556759">
                        <w:rPr>
                          <w:rFonts w:asciiTheme="majorHAnsi" w:hAnsiTheme="majorHAnsi"/>
                          <w:i/>
                          <w:color w:val="002060"/>
                          <w:sz w:val="32"/>
                          <w:szCs w:val="28"/>
                        </w:rPr>
                        <w:t xml:space="preserve"> </w:t>
                      </w:r>
                      <w:r w:rsidRPr="00556759">
                        <w:rPr>
                          <w:rFonts w:asciiTheme="majorHAnsi" w:hAnsiTheme="majorHAnsi"/>
                          <w:i/>
                          <w:color w:val="002060"/>
                          <w:sz w:val="32"/>
                          <w:szCs w:val="28"/>
                        </w:rPr>
                        <w:t>Económicos y Europeos</w:t>
                      </w:r>
                    </w:p>
                  </w:txbxContent>
                </v:textbox>
              </v:shape>
            </w:pict>
          </mc:Fallback>
        </mc:AlternateContent>
      </w:r>
      <w:r w:rsidR="00B47479">
        <w:br w:type="page"/>
      </w:r>
      <w:bookmarkStart w:id="0" w:name="_GoBack"/>
      <w:bookmarkEnd w:id="0"/>
    </w:p>
    <w:p w14:paraId="6F710609" w14:textId="1DA595E8" w:rsidR="00E53EC3" w:rsidRPr="00E1539F" w:rsidRDefault="006E157B" w:rsidP="00E53EC3">
      <w:pPr>
        <w:pStyle w:val="Prrafodelista"/>
        <w:ind w:left="0"/>
        <w:jc w:val="both"/>
        <w:rPr>
          <w:rFonts w:asciiTheme="majorHAnsi" w:hAnsiTheme="majorHAnsi"/>
          <w:sz w:val="24"/>
          <w:szCs w:val="24"/>
        </w:rPr>
      </w:pPr>
      <w:r w:rsidRPr="00E1539F">
        <w:rPr>
          <w:rFonts w:asciiTheme="majorHAnsi" w:hAnsiTheme="majorHAnsi"/>
          <w:sz w:val="24"/>
          <w:szCs w:val="24"/>
        </w:rPr>
        <w:lastRenderedPageBreak/>
        <w:t>La CNMC ha publicado</w:t>
      </w:r>
      <w:r w:rsidR="00E53EC3" w:rsidRPr="00E1539F">
        <w:rPr>
          <w:rFonts w:asciiTheme="majorHAnsi" w:hAnsiTheme="majorHAnsi"/>
          <w:sz w:val="24"/>
          <w:szCs w:val="24"/>
        </w:rPr>
        <w:t xml:space="preserve"> la liquidación provisional </w:t>
      </w:r>
      <w:r w:rsidR="00F727BD" w:rsidRPr="00E1539F">
        <w:rPr>
          <w:rFonts w:asciiTheme="majorHAnsi" w:hAnsiTheme="majorHAnsi"/>
          <w:sz w:val="24"/>
          <w:szCs w:val="24"/>
        </w:rPr>
        <w:t>2</w:t>
      </w:r>
      <w:r w:rsidR="006B3534" w:rsidRPr="00E1539F">
        <w:rPr>
          <w:rFonts w:asciiTheme="majorHAnsi" w:hAnsiTheme="majorHAnsi"/>
          <w:sz w:val="24"/>
          <w:szCs w:val="24"/>
        </w:rPr>
        <w:t xml:space="preserve"> </w:t>
      </w:r>
      <w:r w:rsidR="00E53EC3" w:rsidRPr="00E1539F">
        <w:rPr>
          <w:rFonts w:asciiTheme="majorHAnsi" w:hAnsiTheme="majorHAnsi"/>
          <w:sz w:val="24"/>
          <w:szCs w:val="24"/>
        </w:rPr>
        <w:t>del sector de la electricidad del año 201</w:t>
      </w:r>
      <w:r w:rsidR="00EE54DF" w:rsidRPr="00E1539F">
        <w:rPr>
          <w:rFonts w:asciiTheme="majorHAnsi" w:hAnsiTheme="majorHAnsi"/>
          <w:sz w:val="24"/>
          <w:szCs w:val="24"/>
        </w:rPr>
        <w:t>8</w:t>
      </w:r>
      <w:r w:rsidR="00E53EC3" w:rsidRPr="00E1539F">
        <w:rPr>
          <w:rFonts w:asciiTheme="majorHAnsi" w:hAnsiTheme="majorHAnsi"/>
          <w:sz w:val="24"/>
          <w:szCs w:val="24"/>
        </w:rPr>
        <w:t>. A continuación se resumen los aspectos más destacados:</w:t>
      </w:r>
    </w:p>
    <w:p w14:paraId="5E017EEE" w14:textId="77777777" w:rsidR="00E53EC3" w:rsidRPr="00E1539F" w:rsidRDefault="00E53EC3" w:rsidP="00E53EC3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57A1D2E5" w14:textId="77072464" w:rsidR="006B3534" w:rsidRPr="00E1539F" w:rsidRDefault="006B3534" w:rsidP="006B3534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E1539F">
        <w:rPr>
          <w:rFonts w:asciiTheme="majorHAnsi" w:hAnsiTheme="majorHAnsi" w:cs="Arial"/>
          <w:sz w:val="24"/>
          <w:szCs w:val="24"/>
        </w:rPr>
        <w:t xml:space="preserve">El </w:t>
      </w:r>
      <w:r w:rsidR="00EE54DF" w:rsidRPr="00E1539F">
        <w:rPr>
          <w:rFonts w:asciiTheme="majorHAnsi" w:hAnsiTheme="majorHAnsi" w:cs="Arial"/>
          <w:b/>
          <w:sz w:val="24"/>
          <w:szCs w:val="24"/>
        </w:rPr>
        <w:t xml:space="preserve">desajuste provisional de ingresos del </w:t>
      </w:r>
      <w:r w:rsidRPr="00E1539F">
        <w:rPr>
          <w:rFonts w:asciiTheme="majorHAnsi" w:hAnsiTheme="majorHAnsi" w:cs="Arial"/>
          <w:b/>
          <w:sz w:val="24"/>
          <w:szCs w:val="24"/>
        </w:rPr>
        <w:t>sistema eléctrico</w:t>
      </w:r>
      <w:r w:rsidRPr="00E1539F">
        <w:rPr>
          <w:rFonts w:asciiTheme="majorHAnsi" w:hAnsiTheme="majorHAnsi" w:cs="Arial"/>
          <w:sz w:val="24"/>
          <w:szCs w:val="24"/>
        </w:rPr>
        <w:t xml:space="preserve"> en la liquidación</w:t>
      </w:r>
      <w:r w:rsidR="00AB0331" w:rsidRPr="00E1539F">
        <w:rPr>
          <w:rFonts w:asciiTheme="majorHAnsi" w:hAnsiTheme="majorHAnsi" w:cs="Arial"/>
          <w:sz w:val="24"/>
          <w:szCs w:val="24"/>
        </w:rPr>
        <w:t xml:space="preserve"> </w:t>
      </w:r>
      <w:r w:rsidR="00FE320E" w:rsidRPr="00E1539F">
        <w:rPr>
          <w:rFonts w:asciiTheme="majorHAnsi" w:hAnsiTheme="majorHAnsi" w:cs="Arial"/>
          <w:sz w:val="24"/>
          <w:szCs w:val="24"/>
        </w:rPr>
        <w:t>1</w:t>
      </w:r>
      <w:r w:rsidR="00EE54DF" w:rsidRPr="00E1539F">
        <w:rPr>
          <w:rFonts w:asciiTheme="majorHAnsi" w:hAnsiTheme="majorHAnsi" w:cs="Arial"/>
          <w:sz w:val="24"/>
          <w:szCs w:val="24"/>
        </w:rPr>
        <w:t>/2018</w:t>
      </w:r>
      <w:r w:rsidRPr="00E1539F">
        <w:rPr>
          <w:rFonts w:asciiTheme="majorHAnsi" w:hAnsiTheme="majorHAnsi" w:cs="Arial"/>
          <w:sz w:val="24"/>
          <w:szCs w:val="24"/>
        </w:rPr>
        <w:t xml:space="preserve"> es de </w:t>
      </w:r>
      <w:r w:rsidR="00BA5FC8" w:rsidRPr="00E1539F">
        <w:rPr>
          <w:rFonts w:asciiTheme="majorHAnsi" w:hAnsiTheme="majorHAnsi" w:cs="Arial"/>
          <w:b/>
          <w:sz w:val="24"/>
          <w:szCs w:val="24"/>
        </w:rPr>
        <w:t>-</w:t>
      </w:r>
      <w:r w:rsidR="00B865F3" w:rsidRPr="00E1539F">
        <w:rPr>
          <w:rFonts w:asciiTheme="majorHAnsi" w:hAnsiTheme="majorHAnsi" w:cs="Arial"/>
          <w:b/>
          <w:sz w:val="24"/>
          <w:szCs w:val="24"/>
        </w:rPr>
        <w:t>989</w:t>
      </w:r>
      <w:r w:rsidR="00E1539F" w:rsidRPr="00E1539F">
        <w:rPr>
          <w:rFonts w:asciiTheme="majorHAnsi" w:hAnsiTheme="majorHAnsi" w:cs="Arial"/>
          <w:b/>
          <w:sz w:val="24"/>
          <w:szCs w:val="24"/>
        </w:rPr>
        <w:t>,4</w:t>
      </w:r>
      <w:r w:rsidR="00EE54DF" w:rsidRPr="00E1539F">
        <w:rPr>
          <w:rFonts w:asciiTheme="majorHAnsi" w:hAnsiTheme="majorHAnsi" w:cs="Arial"/>
          <w:b/>
          <w:sz w:val="24"/>
          <w:szCs w:val="24"/>
        </w:rPr>
        <w:t xml:space="preserve"> </w:t>
      </w:r>
      <w:r w:rsidRPr="00E1539F">
        <w:rPr>
          <w:rFonts w:asciiTheme="majorHAnsi" w:hAnsiTheme="majorHAnsi" w:cs="Arial"/>
          <w:b/>
          <w:sz w:val="24"/>
          <w:szCs w:val="24"/>
        </w:rPr>
        <w:t>M€</w:t>
      </w:r>
      <w:r w:rsidR="00B865F3" w:rsidRPr="00E1539F">
        <w:rPr>
          <w:rFonts w:asciiTheme="majorHAnsi" w:hAnsiTheme="majorHAnsi" w:cs="Arial"/>
          <w:sz w:val="24"/>
          <w:szCs w:val="24"/>
        </w:rPr>
        <w:t>, 278 M€ por debajo de lo previsto.</w:t>
      </w:r>
    </w:p>
    <w:p w14:paraId="1ED17596" w14:textId="77777777" w:rsidR="005C466E" w:rsidRPr="00E1539F" w:rsidRDefault="005C466E" w:rsidP="005C466E">
      <w:pPr>
        <w:pStyle w:val="Prrafodelista"/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4"/>
          <w:szCs w:val="24"/>
        </w:rPr>
      </w:pPr>
    </w:p>
    <w:p w14:paraId="76247E9E" w14:textId="62891860" w:rsidR="006B3534" w:rsidRPr="00E1539F" w:rsidRDefault="006B3534" w:rsidP="006B3534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E1539F">
        <w:rPr>
          <w:rFonts w:asciiTheme="majorHAnsi" w:hAnsiTheme="majorHAnsi" w:cs="Arial"/>
          <w:sz w:val="24"/>
          <w:szCs w:val="24"/>
        </w:rPr>
        <w:t xml:space="preserve">La </w:t>
      </w:r>
      <w:r w:rsidRPr="00E1539F">
        <w:rPr>
          <w:rFonts w:asciiTheme="majorHAnsi" w:hAnsiTheme="majorHAnsi" w:cs="Arial"/>
          <w:b/>
          <w:sz w:val="24"/>
          <w:szCs w:val="24"/>
        </w:rPr>
        <w:t>demanda en consumo</w:t>
      </w:r>
      <w:r w:rsidRPr="00E1539F">
        <w:rPr>
          <w:rFonts w:asciiTheme="majorHAnsi" w:hAnsiTheme="majorHAnsi" w:cs="Arial"/>
          <w:sz w:val="24"/>
          <w:szCs w:val="24"/>
        </w:rPr>
        <w:t xml:space="preserve"> registrada (</w:t>
      </w:r>
      <w:r w:rsidR="00B865F3" w:rsidRPr="00E1539F">
        <w:rPr>
          <w:rFonts w:asciiTheme="majorHAnsi" w:hAnsiTheme="majorHAnsi" w:cs="Arial"/>
          <w:sz w:val="24"/>
          <w:szCs w:val="24"/>
        </w:rPr>
        <w:t>24.947</w:t>
      </w:r>
      <w:r w:rsidR="00182005" w:rsidRPr="00E1539F">
        <w:rPr>
          <w:rFonts w:asciiTheme="majorHAnsi" w:hAnsiTheme="majorHAnsi" w:cs="Arial"/>
          <w:sz w:val="24"/>
          <w:szCs w:val="24"/>
        </w:rPr>
        <w:t xml:space="preserve"> </w:t>
      </w:r>
      <w:r w:rsidRPr="00E1539F">
        <w:rPr>
          <w:rFonts w:asciiTheme="majorHAnsi" w:hAnsiTheme="majorHAnsi" w:cs="Arial"/>
          <w:sz w:val="24"/>
          <w:szCs w:val="24"/>
        </w:rPr>
        <w:t xml:space="preserve">GWh) ha sido un </w:t>
      </w:r>
      <w:r w:rsidR="00B865F3" w:rsidRPr="00E1539F">
        <w:rPr>
          <w:rFonts w:asciiTheme="majorHAnsi" w:hAnsiTheme="majorHAnsi" w:cs="Arial"/>
          <w:b/>
          <w:sz w:val="24"/>
          <w:szCs w:val="24"/>
        </w:rPr>
        <w:t>6</w:t>
      </w:r>
      <w:r w:rsidRPr="00E1539F">
        <w:rPr>
          <w:rFonts w:asciiTheme="majorHAnsi" w:hAnsiTheme="majorHAnsi" w:cs="Arial"/>
          <w:b/>
          <w:sz w:val="24"/>
          <w:szCs w:val="24"/>
        </w:rPr>
        <w:t>% superior al valor promedio observado en años anteriores</w:t>
      </w:r>
      <w:r w:rsidRPr="00E1539F">
        <w:rPr>
          <w:rFonts w:asciiTheme="majorHAnsi" w:hAnsiTheme="majorHAnsi" w:cs="Arial"/>
          <w:sz w:val="24"/>
          <w:szCs w:val="24"/>
        </w:rPr>
        <w:t xml:space="preserve">, desviándose los ingresos por peajes de acceso </w:t>
      </w:r>
      <w:r w:rsidR="0012748A" w:rsidRPr="00E1539F">
        <w:rPr>
          <w:rFonts w:asciiTheme="majorHAnsi" w:hAnsiTheme="majorHAnsi" w:cs="Arial"/>
          <w:sz w:val="24"/>
          <w:szCs w:val="24"/>
        </w:rPr>
        <w:t xml:space="preserve">y cargos a consumidores </w:t>
      </w:r>
      <w:r w:rsidRPr="00E1539F">
        <w:rPr>
          <w:rFonts w:asciiTheme="majorHAnsi" w:hAnsiTheme="majorHAnsi" w:cs="Arial"/>
          <w:sz w:val="24"/>
          <w:szCs w:val="24"/>
        </w:rPr>
        <w:t>(</w:t>
      </w:r>
      <w:r w:rsidR="00B865F3" w:rsidRPr="00E1539F">
        <w:rPr>
          <w:rFonts w:asciiTheme="majorHAnsi" w:hAnsiTheme="majorHAnsi" w:cs="Arial"/>
          <w:sz w:val="24"/>
          <w:szCs w:val="24"/>
        </w:rPr>
        <w:t>1.562,9</w:t>
      </w:r>
      <w:r w:rsidRPr="00E1539F">
        <w:rPr>
          <w:rFonts w:asciiTheme="majorHAnsi" w:hAnsiTheme="majorHAnsi" w:cs="Arial"/>
          <w:sz w:val="24"/>
          <w:szCs w:val="24"/>
        </w:rPr>
        <w:t xml:space="preserve"> M€) un </w:t>
      </w:r>
      <w:r w:rsidR="00B865F3" w:rsidRPr="00E1539F">
        <w:rPr>
          <w:rFonts w:asciiTheme="majorHAnsi" w:hAnsiTheme="majorHAnsi" w:cs="Arial"/>
          <w:sz w:val="24"/>
          <w:szCs w:val="24"/>
        </w:rPr>
        <w:t>6,3</w:t>
      </w:r>
      <w:r w:rsidRPr="00E1539F">
        <w:rPr>
          <w:rFonts w:asciiTheme="majorHAnsi" w:hAnsiTheme="majorHAnsi" w:cs="Arial"/>
          <w:sz w:val="24"/>
          <w:szCs w:val="24"/>
        </w:rPr>
        <w:t>% superiores (</w:t>
      </w:r>
      <w:r w:rsidR="00B865F3" w:rsidRPr="00E1539F">
        <w:rPr>
          <w:rFonts w:asciiTheme="majorHAnsi" w:hAnsiTheme="majorHAnsi" w:cs="Arial"/>
          <w:sz w:val="24"/>
          <w:szCs w:val="24"/>
        </w:rPr>
        <w:t>92,8</w:t>
      </w:r>
      <w:r w:rsidRPr="00E1539F">
        <w:rPr>
          <w:rFonts w:asciiTheme="majorHAnsi" w:hAnsiTheme="majorHAnsi" w:cs="Arial"/>
          <w:sz w:val="24"/>
          <w:szCs w:val="24"/>
        </w:rPr>
        <w:t xml:space="preserve"> M€) al valor promedio histórico.</w:t>
      </w:r>
    </w:p>
    <w:p w14:paraId="711A7506" w14:textId="77777777" w:rsidR="006B3534" w:rsidRPr="00E1539F" w:rsidRDefault="006B3534" w:rsidP="006B3534">
      <w:pPr>
        <w:pStyle w:val="Prrafodelista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highlight w:val="yellow"/>
        </w:rPr>
      </w:pPr>
    </w:p>
    <w:p w14:paraId="0BD074FE" w14:textId="16B4D13E" w:rsidR="00464E5D" w:rsidRPr="00E1539F" w:rsidRDefault="006B3534" w:rsidP="00014EAB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539F">
        <w:rPr>
          <w:rFonts w:asciiTheme="majorHAnsi" w:hAnsiTheme="majorHAnsi" w:cs="Arial"/>
          <w:sz w:val="24"/>
          <w:szCs w:val="24"/>
        </w:rPr>
        <w:t xml:space="preserve">Respecto a los </w:t>
      </w:r>
      <w:r w:rsidRPr="00E1539F">
        <w:rPr>
          <w:rFonts w:asciiTheme="majorHAnsi" w:hAnsiTheme="majorHAnsi" w:cs="Arial"/>
          <w:b/>
          <w:sz w:val="24"/>
          <w:szCs w:val="24"/>
        </w:rPr>
        <w:t xml:space="preserve">ingresos por peajes de </w:t>
      </w:r>
      <w:r w:rsidR="00014EAB" w:rsidRPr="00E1539F">
        <w:rPr>
          <w:rFonts w:asciiTheme="majorHAnsi" w:hAnsiTheme="majorHAnsi" w:cs="Arial"/>
          <w:b/>
          <w:sz w:val="24"/>
          <w:szCs w:val="24"/>
        </w:rPr>
        <w:t xml:space="preserve">acceso de </w:t>
      </w:r>
      <w:r w:rsidRPr="00E1539F">
        <w:rPr>
          <w:rFonts w:asciiTheme="majorHAnsi" w:hAnsiTheme="majorHAnsi" w:cs="Arial"/>
          <w:b/>
          <w:sz w:val="24"/>
          <w:szCs w:val="24"/>
        </w:rPr>
        <w:t xml:space="preserve">generadores </w:t>
      </w:r>
      <w:r w:rsidR="005E5E38" w:rsidRPr="00E1539F">
        <w:rPr>
          <w:rFonts w:asciiTheme="majorHAnsi" w:hAnsiTheme="majorHAnsi" w:cs="Arial"/>
          <w:sz w:val="24"/>
          <w:szCs w:val="24"/>
        </w:rPr>
        <w:t xml:space="preserve">han </w:t>
      </w:r>
      <w:r w:rsidR="00014EAB" w:rsidRPr="00E1539F">
        <w:rPr>
          <w:rFonts w:asciiTheme="majorHAnsi" w:hAnsiTheme="majorHAnsi" w:cs="Arial"/>
          <w:sz w:val="24"/>
          <w:szCs w:val="24"/>
        </w:rPr>
        <w:t xml:space="preserve">descendido un </w:t>
      </w:r>
      <w:r w:rsidR="00B865F3" w:rsidRPr="00E1539F">
        <w:rPr>
          <w:rFonts w:asciiTheme="majorHAnsi" w:hAnsiTheme="majorHAnsi" w:cs="Arial"/>
          <w:sz w:val="24"/>
          <w:szCs w:val="24"/>
        </w:rPr>
        <w:t>3</w:t>
      </w:r>
      <w:r w:rsidR="00014EAB" w:rsidRPr="00E1539F">
        <w:rPr>
          <w:rFonts w:asciiTheme="majorHAnsi" w:hAnsiTheme="majorHAnsi" w:cs="Arial"/>
          <w:sz w:val="24"/>
          <w:szCs w:val="24"/>
        </w:rPr>
        <w:t xml:space="preserve">% </w:t>
      </w:r>
      <w:r w:rsidR="00B865F3" w:rsidRPr="00E1539F">
        <w:rPr>
          <w:rFonts w:asciiTheme="majorHAnsi" w:hAnsiTheme="majorHAnsi" w:cs="Arial"/>
          <w:sz w:val="24"/>
          <w:szCs w:val="24"/>
        </w:rPr>
        <w:t>siendo 0,33</w:t>
      </w:r>
      <w:r w:rsidR="009E4844" w:rsidRPr="00E1539F">
        <w:rPr>
          <w:rFonts w:asciiTheme="majorHAnsi" w:hAnsiTheme="majorHAnsi" w:cs="Arial"/>
          <w:sz w:val="24"/>
          <w:szCs w:val="24"/>
        </w:rPr>
        <w:t xml:space="preserve"> M€</w:t>
      </w:r>
      <w:r w:rsidR="00B865F3" w:rsidRPr="00E1539F">
        <w:rPr>
          <w:rFonts w:asciiTheme="majorHAnsi" w:hAnsiTheme="majorHAnsi" w:cs="Arial"/>
          <w:sz w:val="24"/>
          <w:szCs w:val="24"/>
        </w:rPr>
        <w:t xml:space="preserve"> inferiores al promedio histórico</w:t>
      </w:r>
      <w:r w:rsidR="00014EAB" w:rsidRPr="00E1539F">
        <w:rPr>
          <w:rFonts w:asciiTheme="majorHAnsi" w:hAnsiTheme="majorHAnsi" w:cs="Arial"/>
          <w:sz w:val="24"/>
          <w:szCs w:val="24"/>
        </w:rPr>
        <w:t>.</w:t>
      </w:r>
      <w:r w:rsidR="00AB0331" w:rsidRPr="00E1539F">
        <w:rPr>
          <w:rFonts w:asciiTheme="majorHAnsi" w:hAnsiTheme="majorHAnsi" w:cs="Arial"/>
          <w:sz w:val="24"/>
          <w:szCs w:val="24"/>
        </w:rPr>
        <w:t xml:space="preserve"> </w:t>
      </w:r>
      <w:r w:rsidR="00063BDD" w:rsidRPr="00E1539F">
        <w:rPr>
          <w:rFonts w:asciiTheme="majorHAnsi" w:hAnsiTheme="majorHAnsi" w:cs="Arial"/>
          <w:sz w:val="24"/>
          <w:szCs w:val="24"/>
        </w:rPr>
        <w:t>Con respecto a</w:t>
      </w:r>
      <w:r w:rsidR="00E1539F" w:rsidRPr="00E1539F">
        <w:rPr>
          <w:rFonts w:asciiTheme="majorHAnsi" w:hAnsiTheme="majorHAnsi" w:cs="Arial"/>
          <w:sz w:val="24"/>
          <w:szCs w:val="24"/>
        </w:rPr>
        <w:t xml:space="preserve"> los ingresos derivados del </w:t>
      </w:r>
      <w:r w:rsidR="00063BDD" w:rsidRPr="00E1539F">
        <w:rPr>
          <w:rFonts w:asciiTheme="majorHAnsi" w:hAnsiTheme="majorHAnsi" w:cs="Arial"/>
          <w:sz w:val="24"/>
          <w:szCs w:val="24"/>
        </w:rPr>
        <w:t>art.17 del</w:t>
      </w:r>
      <w:r w:rsidR="00063BDD" w:rsidRPr="00E1539F">
        <w:rPr>
          <w:rFonts w:asciiTheme="majorHAnsi" w:hAnsiTheme="majorHAnsi" w:cs="Arial"/>
          <w:b/>
          <w:sz w:val="24"/>
          <w:szCs w:val="24"/>
        </w:rPr>
        <w:t xml:space="preserve"> RD 216/2014,</w:t>
      </w:r>
      <w:r w:rsidR="00063BDD" w:rsidRPr="00E1539F">
        <w:rPr>
          <w:rFonts w:asciiTheme="majorHAnsi" w:hAnsiTheme="majorHAnsi" w:cs="Arial"/>
          <w:sz w:val="24"/>
          <w:szCs w:val="24"/>
        </w:rPr>
        <w:t xml:space="preserve"> los ingresos han sido </w:t>
      </w:r>
      <w:r w:rsidR="00B865F3" w:rsidRPr="00E1539F">
        <w:rPr>
          <w:rFonts w:asciiTheme="majorHAnsi" w:hAnsiTheme="majorHAnsi" w:cs="Arial"/>
          <w:sz w:val="24"/>
          <w:szCs w:val="24"/>
        </w:rPr>
        <w:t xml:space="preserve">un 22,7% inferiores </w:t>
      </w:r>
      <w:r w:rsidR="00063BDD" w:rsidRPr="00E1539F">
        <w:rPr>
          <w:rFonts w:asciiTheme="majorHAnsi" w:hAnsiTheme="majorHAnsi" w:cs="Arial"/>
          <w:sz w:val="24"/>
          <w:szCs w:val="24"/>
        </w:rPr>
        <w:t xml:space="preserve">a lo previsto. </w:t>
      </w:r>
    </w:p>
    <w:p w14:paraId="4D7F4EC0" w14:textId="77777777" w:rsidR="00AB0331" w:rsidRPr="00E1539F" w:rsidRDefault="00AB0331" w:rsidP="00AB0331">
      <w:pPr>
        <w:pStyle w:val="Prrafodelista"/>
        <w:autoSpaceDE w:val="0"/>
        <w:autoSpaceDN w:val="0"/>
        <w:adjustRightInd w:val="0"/>
        <w:ind w:left="360"/>
        <w:jc w:val="both"/>
        <w:rPr>
          <w:rFonts w:asciiTheme="majorHAnsi" w:hAnsiTheme="majorHAnsi"/>
          <w:highlight w:val="yellow"/>
        </w:rPr>
      </w:pPr>
    </w:p>
    <w:p w14:paraId="1FD86F4D" w14:textId="511B4EB0" w:rsidR="006E157B" w:rsidRPr="00E1539F" w:rsidRDefault="006B3534" w:rsidP="006B3534">
      <w:pPr>
        <w:pStyle w:val="Default"/>
        <w:numPr>
          <w:ilvl w:val="0"/>
          <w:numId w:val="4"/>
        </w:numPr>
        <w:ind w:hanging="426"/>
        <w:jc w:val="both"/>
        <w:rPr>
          <w:rFonts w:asciiTheme="majorHAnsi" w:hAnsiTheme="majorHAnsi"/>
          <w:color w:val="FF0000"/>
        </w:rPr>
      </w:pPr>
      <w:r w:rsidRPr="00E1539F">
        <w:rPr>
          <w:rFonts w:asciiTheme="majorHAnsi" w:hAnsiTheme="majorHAnsi"/>
          <w:color w:val="auto"/>
        </w:rPr>
        <w:t xml:space="preserve">Los </w:t>
      </w:r>
      <w:r w:rsidRPr="00E1539F">
        <w:rPr>
          <w:rFonts w:asciiTheme="majorHAnsi" w:hAnsiTheme="majorHAnsi"/>
          <w:b/>
          <w:bCs/>
          <w:color w:val="auto"/>
        </w:rPr>
        <w:t xml:space="preserve">costes regulados </w:t>
      </w:r>
      <w:r w:rsidRPr="00E1539F">
        <w:rPr>
          <w:rFonts w:asciiTheme="majorHAnsi" w:hAnsiTheme="majorHAnsi"/>
          <w:color w:val="auto"/>
        </w:rPr>
        <w:t xml:space="preserve">han </w:t>
      </w:r>
      <w:r w:rsidR="009F0760" w:rsidRPr="00E1539F">
        <w:rPr>
          <w:rFonts w:asciiTheme="majorHAnsi" w:hAnsiTheme="majorHAnsi"/>
          <w:color w:val="auto"/>
        </w:rPr>
        <w:t xml:space="preserve">sido </w:t>
      </w:r>
      <w:r w:rsidR="00B865F3" w:rsidRPr="00E1539F">
        <w:rPr>
          <w:rFonts w:asciiTheme="majorHAnsi" w:hAnsiTheme="majorHAnsi"/>
          <w:b/>
          <w:color w:val="auto"/>
        </w:rPr>
        <w:t>214,1</w:t>
      </w:r>
      <w:r w:rsidRPr="00E1539F">
        <w:rPr>
          <w:rFonts w:asciiTheme="majorHAnsi" w:hAnsiTheme="majorHAnsi"/>
          <w:b/>
          <w:color w:val="auto"/>
        </w:rPr>
        <w:t xml:space="preserve"> M€ inferiores a los previstos</w:t>
      </w:r>
      <w:r w:rsidRPr="00E1539F">
        <w:rPr>
          <w:rFonts w:asciiTheme="majorHAnsi" w:hAnsiTheme="majorHAnsi"/>
          <w:color w:val="auto"/>
        </w:rPr>
        <w:t xml:space="preserve"> para esta liquidación según la Orden </w:t>
      </w:r>
      <w:r w:rsidR="002C7AE5" w:rsidRPr="00E1539F">
        <w:rPr>
          <w:rFonts w:asciiTheme="majorHAnsi" w:hAnsiTheme="majorHAnsi"/>
          <w:color w:val="auto"/>
        </w:rPr>
        <w:t>ETU</w:t>
      </w:r>
      <w:r w:rsidRPr="00E1539F">
        <w:rPr>
          <w:rFonts w:asciiTheme="majorHAnsi" w:hAnsiTheme="majorHAnsi"/>
          <w:color w:val="auto"/>
        </w:rPr>
        <w:t>/</w:t>
      </w:r>
      <w:r w:rsidR="005E5E38" w:rsidRPr="00E1539F">
        <w:rPr>
          <w:rFonts w:asciiTheme="majorHAnsi" w:hAnsiTheme="majorHAnsi"/>
          <w:color w:val="auto"/>
        </w:rPr>
        <w:t>1</w:t>
      </w:r>
      <w:r w:rsidR="00EE54DF" w:rsidRPr="00E1539F">
        <w:rPr>
          <w:rFonts w:asciiTheme="majorHAnsi" w:hAnsiTheme="majorHAnsi"/>
          <w:color w:val="auto"/>
        </w:rPr>
        <w:t>282</w:t>
      </w:r>
      <w:r w:rsidRPr="00E1539F">
        <w:rPr>
          <w:rFonts w:asciiTheme="majorHAnsi" w:hAnsiTheme="majorHAnsi"/>
          <w:color w:val="auto"/>
        </w:rPr>
        <w:t>/201</w:t>
      </w:r>
      <w:r w:rsidR="00EE54DF" w:rsidRPr="00E1539F">
        <w:rPr>
          <w:rFonts w:asciiTheme="majorHAnsi" w:hAnsiTheme="majorHAnsi"/>
          <w:color w:val="auto"/>
        </w:rPr>
        <w:t>7</w:t>
      </w:r>
      <w:r w:rsidRPr="00E1539F">
        <w:rPr>
          <w:rFonts w:asciiTheme="majorHAnsi" w:hAnsiTheme="majorHAnsi"/>
          <w:color w:val="auto"/>
        </w:rPr>
        <w:t xml:space="preserve">, debido, principalmente, a unos menores costes de la retribución </w:t>
      </w:r>
      <w:r w:rsidR="006E157B" w:rsidRPr="00E1539F">
        <w:rPr>
          <w:rFonts w:asciiTheme="majorHAnsi" w:hAnsiTheme="majorHAnsi"/>
          <w:color w:val="auto"/>
        </w:rPr>
        <w:t>adicional</w:t>
      </w:r>
      <w:r w:rsidR="002E514D" w:rsidRPr="00E1539F">
        <w:rPr>
          <w:rFonts w:asciiTheme="majorHAnsi" w:hAnsiTheme="majorHAnsi"/>
          <w:color w:val="auto"/>
        </w:rPr>
        <w:t xml:space="preserve"> y específica</w:t>
      </w:r>
      <w:r w:rsidR="006E157B" w:rsidRPr="00E1539F">
        <w:rPr>
          <w:rFonts w:asciiTheme="majorHAnsi" w:hAnsiTheme="majorHAnsi"/>
          <w:color w:val="auto"/>
        </w:rPr>
        <w:t xml:space="preserve"> de los sistemas no peninsulares (-</w:t>
      </w:r>
      <w:r w:rsidR="00EE54DF" w:rsidRPr="00E1539F">
        <w:rPr>
          <w:rFonts w:asciiTheme="majorHAnsi" w:hAnsiTheme="majorHAnsi"/>
          <w:color w:val="auto"/>
        </w:rPr>
        <w:t xml:space="preserve"> </w:t>
      </w:r>
      <w:r w:rsidR="002E514D" w:rsidRPr="00E1539F">
        <w:rPr>
          <w:rFonts w:asciiTheme="majorHAnsi" w:hAnsiTheme="majorHAnsi"/>
          <w:color w:val="auto"/>
        </w:rPr>
        <w:t>108,7</w:t>
      </w:r>
      <w:r w:rsidR="006E157B" w:rsidRPr="00E1539F">
        <w:rPr>
          <w:rFonts w:asciiTheme="majorHAnsi" w:hAnsiTheme="majorHAnsi"/>
          <w:color w:val="auto"/>
        </w:rPr>
        <w:t xml:space="preserve"> M€)</w:t>
      </w:r>
      <w:r w:rsidRPr="00E1539F">
        <w:rPr>
          <w:rFonts w:asciiTheme="majorHAnsi" w:hAnsiTheme="majorHAnsi"/>
          <w:color w:val="auto"/>
        </w:rPr>
        <w:t xml:space="preserve">. </w:t>
      </w:r>
    </w:p>
    <w:p w14:paraId="05673B63" w14:textId="77777777" w:rsidR="009768AA" w:rsidRPr="00E1539F" w:rsidRDefault="009768AA" w:rsidP="009768AA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FF0000"/>
        </w:rPr>
      </w:pPr>
    </w:p>
    <w:p w14:paraId="6600985A" w14:textId="4DF92455" w:rsidR="0067499A" w:rsidRPr="00E1539F" w:rsidRDefault="006B3534" w:rsidP="0067499A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Theme="majorHAnsi" w:hAnsiTheme="majorHAnsi" w:cs="Arial"/>
          <w:sz w:val="24"/>
        </w:rPr>
      </w:pPr>
      <w:r w:rsidRPr="00E1539F">
        <w:rPr>
          <w:rFonts w:asciiTheme="majorHAnsi" w:hAnsiTheme="majorHAnsi" w:cs="Arial"/>
          <w:sz w:val="24"/>
        </w:rPr>
        <w:t xml:space="preserve">El </w:t>
      </w:r>
      <w:r w:rsidRPr="00E1539F">
        <w:rPr>
          <w:rFonts w:asciiTheme="majorHAnsi" w:hAnsiTheme="majorHAnsi" w:cs="Arial"/>
          <w:b/>
          <w:sz w:val="24"/>
        </w:rPr>
        <w:t>Coeficiente de Cobertura</w:t>
      </w:r>
      <w:r w:rsidRPr="00E1539F">
        <w:rPr>
          <w:rFonts w:asciiTheme="majorHAnsi" w:hAnsiTheme="majorHAnsi" w:cs="Arial"/>
          <w:sz w:val="24"/>
        </w:rPr>
        <w:t xml:space="preserve"> de la liquidación provisional </w:t>
      </w:r>
      <w:r w:rsidR="002E514D" w:rsidRPr="00E1539F">
        <w:rPr>
          <w:rFonts w:asciiTheme="majorHAnsi" w:hAnsiTheme="majorHAnsi" w:cs="Arial"/>
          <w:sz w:val="24"/>
        </w:rPr>
        <w:t>2</w:t>
      </w:r>
      <w:r w:rsidR="005C466E" w:rsidRPr="00E1539F">
        <w:rPr>
          <w:rFonts w:asciiTheme="majorHAnsi" w:hAnsiTheme="majorHAnsi" w:cs="Arial"/>
          <w:sz w:val="24"/>
        </w:rPr>
        <w:t>/</w:t>
      </w:r>
      <w:r w:rsidR="00E161DD" w:rsidRPr="00E1539F">
        <w:rPr>
          <w:rFonts w:asciiTheme="majorHAnsi" w:hAnsiTheme="majorHAnsi" w:cs="Arial"/>
          <w:sz w:val="24"/>
        </w:rPr>
        <w:t>2018</w:t>
      </w:r>
      <w:r w:rsidRPr="00E1539F">
        <w:rPr>
          <w:rFonts w:asciiTheme="majorHAnsi" w:hAnsiTheme="majorHAnsi" w:cs="Arial"/>
          <w:sz w:val="24"/>
        </w:rPr>
        <w:t xml:space="preserve"> se ha situado en un </w:t>
      </w:r>
      <w:r w:rsidR="002E514D" w:rsidRPr="00E1539F">
        <w:rPr>
          <w:rFonts w:asciiTheme="majorHAnsi" w:hAnsiTheme="majorHAnsi" w:cs="Arial"/>
          <w:b/>
          <w:sz w:val="24"/>
        </w:rPr>
        <w:t>57,85</w:t>
      </w:r>
      <w:r w:rsidR="00BC7608" w:rsidRPr="00E1539F">
        <w:rPr>
          <w:rFonts w:asciiTheme="majorHAnsi" w:hAnsiTheme="majorHAnsi" w:cs="Arial"/>
          <w:b/>
          <w:sz w:val="24"/>
        </w:rPr>
        <w:t>%</w:t>
      </w:r>
      <w:r w:rsidRPr="00E1539F">
        <w:rPr>
          <w:rFonts w:asciiTheme="majorHAnsi" w:hAnsiTheme="majorHAnsi" w:cs="Arial"/>
          <w:sz w:val="24"/>
        </w:rPr>
        <w:t xml:space="preserve">. </w:t>
      </w:r>
    </w:p>
    <w:p w14:paraId="5F46F6C5" w14:textId="77777777" w:rsidR="0067499A" w:rsidRPr="00E1539F" w:rsidRDefault="0067499A" w:rsidP="0067499A">
      <w:pPr>
        <w:pStyle w:val="Prrafodelista"/>
        <w:autoSpaceDE w:val="0"/>
        <w:autoSpaceDN w:val="0"/>
        <w:adjustRightInd w:val="0"/>
        <w:ind w:left="357"/>
        <w:contextualSpacing w:val="0"/>
        <w:jc w:val="both"/>
        <w:rPr>
          <w:rFonts w:asciiTheme="majorHAnsi" w:hAnsiTheme="majorHAnsi" w:cs="Arial"/>
          <w:color w:val="FF0000"/>
          <w:sz w:val="24"/>
        </w:rPr>
      </w:pPr>
    </w:p>
    <w:p w14:paraId="050786CC" w14:textId="1FF0F723" w:rsidR="006B3534" w:rsidRPr="00E1539F" w:rsidRDefault="009768AA" w:rsidP="009768A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</w:rPr>
      </w:pPr>
      <w:r w:rsidRPr="00E1539F">
        <w:rPr>
          <w:rFonts w:asciiTheme="majorHAnsi" w:hAnsiTheme="majorHAnsi" w:cs="Arial"/>
          <w:sz w:val="24"/>
        </w:rPr>
        <w:t xml:space="preserve">Conforme se establece en el artículo 72.4 del Real Decreto 738/2015, el </w:t>
      </w:r>
      <w:r w:rsidRPr="00E1539F">
        <w:rPr>
          <w:rFonts w:asciiTheme="majorHAnsi" w:hAnsiTheme="majorHAnsi" w:cs="Arial"/>
          <w:b/>
          <w:sz w:val="24"/>
        </w:rPr>
        <w:t>50% de la retribución específica no peninsular será financiada conjuntamente con la retribución adicional con cargo a los Presupuestos Generales del Estado</w:t>
      </w:r>
      <w:r w:rsidRPr="00E1539F">
        <w:rPr>
          <w:rFonts w:asciiTheme="majorHAnsi" w:hAnsiTheme="majorHAnsi" w:cs="Arial"/>
          <w:sz w:val="24"/>
        </w:rPr>
        <w:t xml:space="preserve">. En consecuencia, en la Liquidación provisional </w:t>
      </w:r>
      <w:r w:rsidR="002E514D" w:rsidRPr="00E1539F">
        <w:rPr>
          <w:rFonts w:asciiTheme="majorHAnsi" w:hAnsiTheme="majorHAnsi" w:cs="Arial"/>
          <w:sz w:val="24"/>
        </w:rPr>
        <w:t>2</w:t>
      </w:r>
      <w:r w:rsidR="00F21CFC" w:rsidRPr="00E1539F">
        <w:rPr>
          <w:rFonts w:asciiTheme="majorHAnsi" w:hAnsiTheme="majorHAnsi" w:cs="Arial"/>
          <w:sz w:val="24"/>
        </w:rPr>
        <w:t>/</w:t>
      </w:r>
      <w:r w:rsidRPr="00E1539F">
        <w:rPr>
          <w:rFonts w:asciiTheme="majorHAnsi" w:hAnsiTheme="majorHAnsi" w:cs="Arial"/>
          <w:sz w:val="24"/>
        </w:rPr>
        <w:t>201</w:t>
      </w:r>
      <w:r w:rsidR="00F21CFC" w:rsidRPr="00E1539F">
        <w:rPr>
          <w:rFonts w:asciiTheme="majorHAnsi" w:hAnsiTheme="majorHAnsi" w:cs="Arial"/>
          <w:sz w:val="24"/>
        </w:rPr>
        <w:t>8</w:t>
      </w:r>
      <w:r w:rsidRPr="00E1539F">
        <w:rPr>
          <w:rFonts w:asciiTheme="majorHAnsi" w:hAnsiTheme="majorHAnsi" w:cs="Arial"/>
          <w:sz w:val="24"/>
        </w:rPr>
        <w:t xml:space="preserve"> </w:t>
      </w:r>
      <w:r w:rsidRPr="00E1539F">
        <w:rPr>
          <w:rFonts w:asciiTheme="majorHAnsi" w:hAnsiTheme="majorHAnsi" w:cs="Arial"/>
          <w:b/>
          <w:sz w:val="24"/>
        </w:rPr>
        <w:t>se liquida con cargo al sector eléctrico la totalidad de la retribución específica peninsular</w:t>
      </w:r>
      <w:r w:rsidRPr="00E1539F">
        <w:rPr>
          <w:rFonts w:asciiTheme="majorHAnsi" w:hAnsiTheme="majorHAnsi" w:cs="Arial"/>
          <w:sz w:val="24"/>
        </w:rPr>
        <w:t xml:space="preserve"> (</w:t>
      </w:r>
      <w:r w:rsidR="002E514D" w:rsidRPr="00E1539F">
        <w:rPr>
          <w:rFonts w:asciiTheme="majorHAnsi" w:hAnsiTheme="majorHAnsi" w:cs="Arial"/>
          <w:sz w:val="24"/>
        </w:rPr>
        <w:t>1.139,9</w:t>
      </w:r>
      <w:r w:rsidR="00AB0331" w:rsidRPr="00E1539F">
        <w:rPr>
          <w:rFonts w:asciiTheme="majorHAnsi" w:hAnsiTheme="majorHAnsi" w:cs="Arial"/>
          <w:sz w:val="24"/>
        </w:rPr>
        <w:t xml:space="preserve"> </w:t>
      </w:r>
      <w:r w:rsidRPr="00E1539F">
        <w:rPr>
          <w:rFonts w:asciiTheme="majorHAnsi" w:hAnsiTheme="majorHAnsi" w:cs="Arial"/>
          <w:sz w:val="24"/>
        </w:rPr>
        <w:t xml:space="preserve">M€) </w:t>
      </w:r>
      <w:r w:rsidRPr="00E1539F">
        <w:rPr>
          <w:rFonts w:asciiTheme="majorHAnsi" w:hAnsiTheme="majorHAnsi" w:cs="Arial"/>
          <w:b/>
          <w:sz w:val="24"/>
        </w:rPr>
        <w:t xml:space="preserve">y el 50% de la retribución específica no peninsular </w:t>
      </w:r>
      <w:r w:rsidRPr="00E1539F">
        <w:rPr>
          <w:rFonts w:asciiTheme="majorHAnsi" w:hAnsiTheme="majorHAnsi" w:cs="Arial"/>
          <w:sz w:val="24"/>
        </w:rPr>
        <w:t>(</w:t>
      </w:r>
      <w:r w:rsidR="002E514D" w:rsidRPr="00E1539F">
        <w:rPr>
          <w:rFonts w:asciiTheme="majorHAnsi" w:hAnsiTheme="majorHAnsi" w:cs="Arial"/>
          <w:sz w:val="24"/>
        </w:rPr>
        <w:t>11,8</w:t>
      </w:r>
      <w:r w:rsidRPr="00E1539F">
        <w:rPr>
          <w:rFonts w:asciiTheme="majorHAnsi" w:hAnsiTheme="majorHAnsi" w:cs="Arial"/>
          <w:sz w:val="24"/>
        </w:rPr>
        <w:t xml:space="preserve"> M€)</w:t>
      </w:r>
      <w:r w:rsidR="004E71E0" w:rsidRPr="00E1539F">
        <w:rPr>
          <w:rFonts w:asciiTheme="majorHAnsi" w:hAnsiTheme="majorHAnsi" w:cs="Arial"/>
          <w:sz w:val="24"/>
        </w:rPr>
        <w:t>.</w:t>
      </w:r>
      <w:r w:rsidR="00652098" w:rsidRPr="00E1539F">
        <w:rPr>
          <w:rFonts w:asciiTheme="majorHAnsi" w:hAnsiTheme="majorHAnsi" w:cs="Arial"/>
          <w:sz w:val="24"/>
        </w:rPr>
        <w:t xml:space="preserve"> </w:t>
      </w:r>
    </w:p>
    <w:p w14:paraId="48E4CB74" w14:textId="77777777" w:rsidR="009768AA" w:rsidRPr="00E1539F" w:rsidRDefault="009768AA" w:rsidP="009768AA">
      <w:p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highlight w:val="yellow"/>
        </w:rPr>
      </w:pPr>
    </w:p>
    <w:p w14:paraId="0CCAE833" w14:textId="2F65E8A2" w:rsidR="006B3534" w:rsidRPr="00E1539F" w:rsidRDefault="006B3534" w:rsidP="009768A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1539F">
        <w:rPr>
          <w:rFonts w:asciiTheme="majorHAnsi" w:hAnsiTheme="majorHAnsi" w:cs="Arial"/>
          <w:sz w:val="24"/>
          <w:szCs w:val="24"/>
        </w:rPr>
        <w:t xml:space="preserve">El coste del </w:t>
      </w:r>
      <w:r w:rsidRPr="00E1539F">
        <w:rPr>
          <w:rFonts w:asciiTheme="majorHAnsi" w:hAnsiTheme="majorHAnsi" w:cs="Arial"/>
          <w:b/>
          <w:sz w:val="24"/>
          <w:szCs w:val="24"/>
        </w:rPr>
        <w:t>servicio de interrump</w:t>
      </w:r>
      <w:r w:rsidR="00E1539F">
        <w:rPr>
          <w:rFonts w:asciiTheme="majorHAnsi" w:hAnsiTheme="majorHAnsi" w:cs="Arial"/>
          <w:b/>
          <w:sz w:val="24"/>
          <w:szCs w:val="24"/>
        </w:rPr>
        <w:t>i</w:t>
      </w:r>
      <w:r w:rsidRPr="00E1539F">
        <w:rPr>
          <w:rFonts w:asciiTheme="majorHAnsi" w:hAnsiTheme="majorHAnsi" w:cs="Arial"/>
          <w:b/>
          <w:sz w:val="24"/>
          <w:szCs w:val="24"/>
        </w:rPr>
        <w:t>bilidad</w:t>
      </w:r>
      <w:r w:rsidRPr="00E1539F">
        <w:rPr>
          <w:rFonts w:asciiTheme="majorHAnsi" w:hAnsiTheme="majorHAnsi" w:cs="Arial"/>
          <w:sz w:val="24"/>
          <w:szCs w:val="24"/>
        </w:rPr>
        <w:t xml:space="preserve"> </w:t>
      </w:r>
      <w:r w:rsidR="005B6878" w:rsidRPr="00E1539F">
        <w:rPr>
          <w:rFonts w:asciiTheme="majorHAnsi" w:hAnsiTheme="majorHAnsi" w:cs="Arial"/>
          <w:sz w:val="24"/>
          <w:szCs w:val="24"/>
        </w:rPr>
        <w:t>asciende a</w:t>
      </w:r>
      <w:r w:rsidR="003B0A8E" w:rsidRPr="00E1539F">
        <w:rPr>
          <w:rFonts w:asciiTheme="majorHAnsi" w:hAnsiTheme="majorHAnsi" w:cs="Arial"/>
          <w:sz w:val="24"/>
          <w:szCs w:val="24"/>
        </w:rPr>
        <w:t xml:space="preserve"> </w:t>
      </w:r>
      <w:r w:rsidR="003B0A8E" w:rsidRPr="00E1539F">
        <w:rPr>
          <w:rFonts w:asciiTheme="majorHAnsi" w:hAnsiTheme="majorHAnsi" w:cs="Arial"/>
          <w:b/>
          <w:sz w:val="24"/>
          <w:szCs w:val="24"/>
        </w:rPr>
        <w:t>1,3 M</w:t>
      </w:r>
      <w:r w:rsidR="00733A99" w:rsidRPr="00E1539F">
        <w:rPr>
          <w:rFonts w:asciiTheme="majorHAnsi" w:hAnsiTheme="majorHAnsi" w:cs="Arial"/>
          <w:b/>
          <w:sz w:val="24"/>
        </w:rPr>
        <w:t>€</w:t>
      </w:r>
      <w:r w:rsidR="009768AA" w:rsidRPr="00E1539F">
        <w:rPr>
          <w:rFonts w:asciiTheme="majorHAnsi" w:hAnsiTheme="majorHAnsi" w:cs="Arial"/>
          <w:b/>
          <w:sz w:val="24"/>
          <w:szCs w:val="24"/>
        </w:rPr>
        <w:t xml:space="preserve"> </w:t>
      </w:r>
      <w:r w:rsidR="009768AA" w:rsidRPr="00E1539F">
        <w:rPr>
          <w:rFonts w:asciiTheme="majorHAnsi" w:hAnsiTheme="majorHAnsi" w:cs="Arial"/>
          <w:sz w:val="24"/>
          <w:szCs w:val="24"/>
        </w:rPr>
        <w:t xml:space="preserve">correspondiente </w:t>
      </w:r>
      <w:r w:rsidRPr="00E1539F">
        <w:rPr>
          <w:rFonts w:asciiTheme="majorHAnsi" w:hAnsiTheme="majorHAnsi" w:cs="Arial"/>
          <w:sz w:val="24"/>
          <w:szCs w:val="24"/>
        </w:rPr>
        <w:t>al servicio de interrumpibilidad prestado por proveedores del servicio en sistemas no penins</w:t>
      </w:r>
      <w:r w:rsidR="009768AA" w:rsidRPr="00E1539F">
        <w:rPr>
          <w:rFonts w:asciiTheme="majorHAnsi" w:hAnsiTheme="majorHAnsi" w:cs="Arial"/>
          <w:sz w:val="24"/>
          <w:szCs w:val="24"/>
        </w:rPr>
        <w:t xml:space="preserve">ulares. </w:t>
      </w:r>
      <w:r w:rsidR="009768AA" w:rsidRPr="00E1539F">
        <w:rPr>
          <w:rFonts w:asciiTheme="majorHAnsi" w:hAnsiTheme="majorHAnsi" w:cs="Arial"/>
          <w:b/>
          <w:sz w:val="24"/>
          <w:szCs w:val="24"/>
        </w:rPr>
        <w:t>Adicionalmente</w:t>
      </w:r>
      <w:r w:rsidR="009768AA" w:rsidRPr="00E1539F">
        <w:rPr>
          <w:rFonts w:asciiTheme="majorHAnsi" w:hAnsiTheme="majorHAnsi" w:cs="Arial"/>
          <w:sz w:val="24"/>
          <w:szCs w:val="24"/>
        </w:rPr>
        <w:t xml:space="preserve">, cabe señalar que en la liquidación </w:t>
      </w:r>
      <w:r w:rsidR="003B0A8E" w:rsidRPr="00E1539F">
        <w:rPr>
          <w:rFonts w:asciiTheme="majorHAnsi" w:hAnsiTheme="majorHAnsi" w:cs="Arial"/>
          <w:sz w:val="24"/>
          <w:szCs w:val="24"/>
        </w:rPr>
        <w:t>2</w:t>
      </w:r>
      <w:r w:rsidR="009768AA" w:rsidRPr="00E1539F">
        <w:rPr>
          <w:rFonts w:asciiTheme="majorHAnsi" w:hAnsiTheme="majorHAnsi" w:cs="Arial"/>
          <w:sz w:val="24"/>
          <w:szCs w:val="24"/>
        </w:rPr>
        <w:t>/201</w:t>
      </w:r>
      <w:r w:rsidR="00874187" w:rsidRPr="00E1539F">
        <w:rPr>
          <w:rFonts w:asciiTheme="majorHAnsi" w:hAnsiTheme="majorHAnsi" w:cs="Arial"/>
          <w:sz w:val="24"/>
          <w:szCs w:val="24"/>
        </w:rPr>
        <w:t>8</w:t>
      </w:r>
      <w:r w:rsidR="009768AA" w:rsidRPr="00E1539F">
        <w:rPr>
          <w:rFonts w:asciiTheme="majorHAnsi" w:hAnsiTheme="majorHAnsi" w:cs="Arial"/>
          <w:sz w:val="24"/>
          <w:szCs w:val="24"/>
        </w:rPr>
        <w:t xml:space="preserve"> se ha registrado un </w:t>
      </w:r>
      <w:r w:rsidR="009768AA" w:rsidRPr="00E1539F">
        <w:rPr>
          <w:rFonts w:asciiTheme="majorHAnsi" w:hAnsiTheme="majorHAnsi" w:cs="Arial"/>
          <w:b/>
          <w:sz w:val="24"/>
          <w:szCs w:val="24"/>
        </w:rPr>
        <w:t xml:space="preserve">ingreso </w:t>
      </w:r>
      <w:r w:rsidR="009768AA" w:rsidRPr="00E1539F">
        <w:rPr>
          <w:rFonts w:asciiTheme="majorHAnsi" w:hAnsiTheme="majorHAnsi" w:cs="Arial"/>
          <w:sz w:val="24"/>
          <w:szCs w:val="24"/>
        </w:rPr>
        <w:t xml:space="preserve">de </w:t>
      </w:r>
      <w:r w:rsidR="003B0A8E" w:rsidRPr="00E1539F">
        <w:rPr>
          <w:rFonts w:asciiTheme="majorHAnsi" w:hAnsiTheme="majorHAnsi" w:cs="Arial"/>
          <w:b/>
          <w:sz w:val="24"/>
          <w:szCs w:val="24"/>
        </w:rPr>
        <w:t>3,4</w:t>
      </w:r>
      <w:r w:rsidR="00874187" w:rsidRPr="00E1539F">
        <w:rPr>
          <w:rFonts w:asciiTheme="majorHAnsi" w:hAnsiTheme="majorHAnsi" w:cs="Arial"/>
          <w:b/>
          <w:sz w:val="24"/>
          <w:szCs w:val="24"/>
        </w:rPr>
        <w:t xml:space="preserve"> </w:t>
      </w:r>
      <w:r w:rsidR="009768AA" w:rsidRPr="00E1539F">
        <w:rPr>
          <w:rFonts w:asciiTheme="majorHAnsi" w:hAnsiTheme="majorHAnsi" w:cs="Arial"/>
          <w:b/>
          <w:sz w:val="24"/>
          <w:szCs w:val="24"/>
        </w:rPr>
        <w:t xml:space="preserve">M€ </w:t>
      </w:r>
      <w:r w:rsidR="009768AA" w:rsidRPr="00E1539F">
        <w:rPr>
          <w:rFonts w:asciiTheme="majorHAnsi" w:hAnsiTheme="majorHAnsi" w:cs="Arial"/>
          <w:sz w:val="24"/>
          <w:szCs w:val="24"/>
        </w:rPr>
        <w:t>por la diferencia entre el coste asociado al servicio de interrumpibilidad prestado por los proveedores del servicio en los sistemas no peninsulares (SNP) y los ingresos que resultan de aplicar a la demanda de los S</w:t>
      </w:r>
      <w:r w:rsidR="004C79FF" w:rsidRPr="00E1539F">
        <w:rPr>
          <w:rFonts w:asciiTheme="majorHAnsi" w:hAnsiTheme="majorHAnsi" w:cs="Arial"/>
          <w:sz w:val="24"/>
          <w:szCs w:val="24"/>
        </w:rPr>
        <w:t>E</w:t>
      </w:r>
      <w:r w:rsidR="009768AA" w:rsidRPr="00E1539F">
        <w:rPr>
          <w:rFonts w:asciiTheme="majorHAnsi" w:hAnsiTheme="majorHAnsi" w:cs="Arial"/>
          <w:sz w:val="24"/>
          <w:szCs w:val="24"/>
        </w:rPr>
        <w:t>NP el mismo coste de la energía del mercado del sistema peninsular.</w:t>
      </w:r>
    </w:p>
    <w:p w14:paraId="5F3AA6D2" w14:textId="77777777" w:rsidR="006B3534" w:rsidRPr="00E1539F" w:rsidRDefault="006B3534" w:rsidP="009768AA">
      <w:pPr>
        <w:pStyle w:val="Prrafodelista"/>
        <w:ind w:left="360"/>
        <w:rPr>
          <w:rFonts w:asciiTheme="majorHAnsi" w:hAnsiTheme="majorHAnsi" w:cs="Arial"/>
          <w:color w:val="FF0000"/>
          <w:sz w:val="24"/>
          <w:szCs w:val="24"/>
        </w:rPr>
      </w:pPr>
    </w:p>
    <w:p w14:paraId="681EAC44" w14:textId="1D67F23F" w:rsidR="006B3534" w:rsidRPr="00E1539F" w:rsidRDefault="006B3534" w:rsidP="006B3534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1539F">
        <w:rPr>
          <w:rFonts w:asciiTheme="majorHAnsi" w:hAnsiTheme="majorHAnsi" w:cs="Arial"/>
          <w:sz w:val="24"/>
          <w:szCs w:val="24"/>
        </w:rPr>
        <w:t xml:space="preserve">El coste de los </w:t>
      </w:r>
      <w:r w:rsidRPr="00E1539F">
        <w:rPr>
          <w:rFonts w:asciiTheme="majorHAnsi" w:hAnsiTheme="majorHAnsi" w:cs="Arial"/>
          <w:b/>
          <w:sz w:val="24"/>
          <w:szCs w:val="24"/>
        </w:rPr>
        <w:t>pagos por capacidad</w:t>
      </w:r>
      <w:r w:rsidRPr="00E1539F">
        <w:rPr>
          <w:rFonts w:asciiTheme="majorHAnsi" w:hAnsiTheme="majorHAnsi" w:cs="Arial"/>
          <w:sz w:val="24"/>
          <w:szCs w:val="24"/>
        </w:rPr>
        <w:t xml:space="preserve"> </w:t>
      </w:r>
      <w:r w:rsidR="009768AA" w:rsidRPr="00E1539F">
        <w:rPr>
          <w:rFonts w:asciiTheme="majorHAnsi" w:hAnsiTheme="majorHAnsi" w:cs="Arial"/>
          <w:sz w:val="24"/>
          <w:szCs w:val="24"/>
        </w:rPr>
        <w:t xml:space="preserve">asciende a </w:t>
      </w:r>
      <w:r w:rsidR="003B0A8E" w:rsidRPr="00E1539F">
        <w:rPr>
          <w:rFonts w:asciiTheme="majorHAnsi" w:hAnsiTheme="majorHAnsi" w:cs="Arial"/>
          <w:b/>
          <w:sz w:val="24"/>
          <w:szCs w:val="24"/>
        </w:rPr>
        <w:t>59</w:t>
      </w:r>
      <w:r w:rsidR="009768AA" w:rsidRPr="00E1539F">
        <w:rPr>
          <w:rFonts w:asciiTheme="majorHAnsi" w:hAnsiTheme="majorHAnsi" w:cs="Arial"/>
          <w:b/>
          <w:sz w:val="24"/>
          <w:szCs w:val="24"/>
        </w:rPr>
        <w:t xml:space="preserve"> M</w:t>
      </w:r>
      <w:r w:rsidR="009768AA" w:rsidRPr="00E1539F">
        <w:rPr>
          <w:rFonts w:asciiTheme="majorHAnsi" w:hAnsiTheme="majorHAnsi"/>
          <w:b/>
          <w:sz w:val="24"/>
        </w:rPr>
        <w:t xml:space="preserve">€, cifra superior en </w:t>
      </w:r>
      <w:r w:rsidR="003B0A8E" w:rsidRPr="00E1539F">
        <w:rPr>
          <w:rFonts w:asciiTheme="majorHAnsi" w:hAnsiTheme="majorHAnsi"/>
          <w:b/>
          <w:sz w:val="24"/>
        </w:rPr>
        <w:t>0,3</w:t>
      </w:r>
      <w:r w:rsidR="00D27CA0" w:rsidRPr="00E1539F">
        <w:rPr>
          <w:rFonts w:asciiTheme="majorHAnsi" w:hAnsiTheme="majorHAnsi"/>
          <w:b/>
          <w:sz w:val="24"/>
        </w:rPr>
        <w:t xml:space="preserve"> </w:t>
      </w:r>
      <w:r w:rsidR="004E71E0" w:rsidRPr="00E1539F">
        <w:rPr>
          <w:rFonts w:asciiTheme="majorHAnsi" w:hAnsiTheme="majorHAnsi" w:cs="Arial"/>
          <w:b/>
          <w:sz w:val="24"/>
          <w:szCs w:val="24"/>
        </w:rPr>
        <w:t>M€</w:t>
      </w:r>
      <w:r w:rsidR="00B018F2" w:rsidRPr="00E1539F">
        <w:rPr>
          <w:rFonts w:asciiTheme="majorHAnsi" w:hAnsiTheme="majorHAnsi"/>
          <w:b/>
          <w:sz w:val="24"/>
        </w:rPr>
        <w:t xml:space="preserve"> </w:t>
      </w:r>
      <w:r w:rsidR="009768AA" w:rsidRPr="00E1539F">
        <w:rPr>
          <w:rFonts w:asciiTheme="majorHAnsi" w:hAnsiTheme="majorHAnsi" w:cs="Arial"/>
          <w:sz w:val="24"/>
          <w:szCs w:val="24"/>
        </w:rPr>
        <w:t>al valor previsto para la presente liquidación</w:t>
      </w:r>
      <w:r w:rsidR="00B018F2" w:rsidRPr="00E1539F">
        <w:rPr>
          <w:rFonts w:asciiTheme="majorHAnsi" w:hAnsiTheme="majorHAnsi" w:cs="Arial"/>
          <w:sz w:val="24"/>
          <w:szCs w:val="24"/>
        </w:rPr>
        <w:t>.</w:t>
      </w:r>
    </w:p>
    <w:p w14:paraId="4EAE1C9E" w14:textId="77777777" w:rsidR="00A97648" w:rsidRPr="00E1539F" w:rsidRDefault="00A97648" w:rsidP="00A97648">
      <w:pPr>
        <w:pStyle w:val="Prrafodelista"/>
        <w:rPr>
          <w:rFonts w:asciiTheme="majorHAnsi" w:hAnsiTheme="majorHAnsi" w:cs="Arial"/>
          <w:color w:val="FF0000"/>
          <w:sz w:val="24"/>
          <w:szCs w:val="24"/>
        </w:rPr>
      </w:pPr>
    </w:p>
    <w:p w14:paraId="62BF958D" w14:textId="77777777" w:rsidR="009713FF" w:rsidRPr="00E1539F" w:rsidRDefault="009713FF" w:rsidP="009713FF">
      <w:pPr>
        <w:pStyle w:val="Prrafodelista"/>
        <w:rPr>
          <w:rFonts w:asciiTheme="majorHAnsi" w:hAnsiTheme="majorHAnsi" w:cs="Arial"/>
          <w:sz w:val="24"/>
          <w:szCs w:val="24"/>
        </w:rPr>
      </w:pPr>
    </w:p>
    <w:p w14:paraId="464453A7" w14:textId="31C1D94E" w:rsidR="00D27CA0" w:rsidRPr="00E1539F" w:rsidRDefault="00E53EC3" w:rsidP="009713FF">
      <w:pPr>
        <w:rPr>
          <w:rFonts w:asciiTheme="majorHAnsi" w:hAnsiTheme="majorHAnsi"/>
        </w:rPr>
      </w:pPr>
      <w:r w:rsidRPr="00E1539F">
        <w:rPr>
          <w:rFonts w:asciiTheme="majorHAnsi" w:hAnsiTheme="majorHAnsi"/>
        </w:rPr>
        <w:t xml:space="preserve">Si deseas acceder al informe completo de la CNMC pulsa </w:t>
      </w:r>
      <w:hyperlink r:id="rId9" w:history="1">
        <w:r w:rsidR="00D27CA0" w:rsidRPr="00E1539F">
          <w:rPr>
            <w:rStyle w:val="Hipervnculo"/>
            <w:rFonts w:asciiTheme="majorHAnsi" w:hAnsiTheme="majorHAnsi"/>
          </w:rPr>
          <w:t>aquí</w:t>
        </w:r>
      </w:hyperlink>
    </w:p>
    <w:p w14:paraId="72E02332" w14:textId="23A11A49" w:rsidR="009768AA" w:rsidRPr="00D27CA0" w:rsidRDefault="009768AA" w:rsidP="009768AA">
      <w:pPr>
        <w:ind w:firstLine="360"/>
        <w:rPr>
          <w:rStyle w:val="Hipervnculo"/>
          <w:rFonts w:ascii="Calibri" w:hAnsi="Calibri"/>
          <w:b/>
          <w:color w:val="FF0000"/>
          <w:u w:val="none"/>
        </w:rPr>
      </w:pPr>
    </w:p>
    <w:p w14:paraId="39AE3A37" w14:textId="77777777" w:rsidR="00AB0331" w:rsidRDefault="00AB0331" w:rsidP="004E71E0">
      <w:pPr>
        <w:jc w:val="center"/>
        <w:rPr>
          <w:rFonts w:asciiTheme="majorHAnsi" w:hAnsiTheme="majorHAnsi"/>
          <w:b/>
          <w:u w:val="single"/>
        </w:rPr>
      </w:pPr>
    </w:p>
    <w:p w14:paraId="7479290F" w14:textId="77777777" w:rsidR="00A97648" w:rsidRDefault="00A97648" w:rsidP="004E71E0">
      <w:pPr>
        <w:jc w:val="center"/>
        <w:rPr>
          <w:rFonts w:asciiTheme="majorHAnsi" w:hAnsiTheme="majorHAnsi"/>
          <w:b/>
          <w:u w:val="single"/>
        </w:rPr>
      </w:pPr>
    </w:p>
    <w:p w14:paraId="7B62E19B" w14:textId="102E0877" w:rsidR="00C0427A" w:rsidRDefault="00DC3059" w:rsidP="004E71E0">
      <w:pPr>
        <w:jc w:val="center"/>
        <w:rPr>
          <w:rFonts w:ascii="Calibri" w:hAnsi="Calibri"/>
        </w:rPr>
      </w:pPr>
      <w:r>
        <w:rPr>
          <w:rFonts w:asciiTheme="majorHAnsi" w:hAnsiTheme="majorHAnsi"/>
          <w:b/>
          <w:u w:val="single"/>
        </w:rPr>
        <w:t>ANEX</w:t>
      </w:r>
      <w:r w:rsidR="004862B3" w:rsidRPr="00A70C0E">
        <w:rPr>
          <w:rFonts w:asciiTheme="majorHAnsi" w:hAnsiTheme="majorHAnsi"/>
          <w:b/>
          <w:u w:val="single"/>
        </w:rPr>
        <w:t>O</w:t>
      </w:r>
    </w:p>
    <w:p w14:paraId="3BED09B8" w14:textId="627F019F" w:rsidR="00C0427A" w:rsidRDefault="00C0427A" w:rsidP="00FB3BDD">
      <w:pPr>
        <w:jc w:val="center"/>
        <w:rPr>
          <w:sz w:val="20"/>
        </w:rPr>
      </w:pPr>
    </w:p>
    <w:p w14:paraId="0D119C49" w14:textId="2111F170" w:rsidR="00FB3BDD" w:rsidRPr="00C0427A" w:rsidRDefault="00FB3BDD" w:rsidP="00C0427A">
      <w:pPr>
        <w:jc w:val="center"/>
        <w:rPr>
          <w:sz w:val="20"/>
        </w:rPr>
      </w:pPr>
    </w:p>
    <w:p w14:paraId="0E658AFE" w14:textId="011C2D7A" w:rsidR="00E53EC3" w:rsidRDefault="003B0A8E" w:rsidP="003B0A8E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10963DC" wp14:editId="5048ADCA">
            <wp:extent cx="3829050" cy="5495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73CD" w14:textId="22637874" w:rsidR="009713FF" w:rsidRDefault="009713FF" w:rsidP="009713FF">
      <w:pPr>
        <w:ind w:left="-851" w:right="-568"/>
        <w:jc w:val="center"/>
        <w:rPr>
          <w:rFonts w:ascii="Calibri" w:hAnsi="Calibri"/>
          <w:b/>
          <w:i/>
          <w:sz w:val="22"/>
        </w:rPr>
      </w:pPr>
      <w:r w:rsidRPr="00883E0B">
        <w:rPr>
          <w:rFonts w:ascii="Calibri" w:hAnsi="Calibri"/>
          <w:b/>
          <w:i/>
          <w:sz w:val="22"/>
        </w:rPr>
        <w:t xml:space="preserve">Liquidación provisional </w:t>
      </w:r>
      <w:r w:rsidR="003B0A8E">
        <w:rPr>
          <w:rFonts w:ascii="Calibri" w:hAnsi="Calibri"/>
          <w:b/>
          <w:i/>
          <w:sz w:val="22"/>
        </w:rPr>
        <w:t>2</w:t>
      </w:r>
      <w:r>
        <w:rPr>
          <w:rFonts w:ascii="Calibri" w:hAnsi="Calibri"/>
          <w:b/>
          <w:i/>
          <w:sz w:val="22"/>
        </w:rPr>
        <w:t>/</w:t>
      </w:r>
      <w:r w:rsidR="00B4101D">
        <w:rPr>
          <w:rFonts w:ascii="Calibri" w:hAnsi="Calibri"/>
          <w:b/>
          <w:i/>
          <w:sz w:val="22"/>
        </w:rPr>
        <w:t>18</w:t>
      </w:r>
    </w:p>
    <w:p w14:paraId="780B76D5" w14:textId="77777777" w:rsidR="009713FF" w:rsidRPr="00E77E21" w:rsidRDefault="009713FF" w:rsidP="009713FF">
      <w:pPr>
        <w:tabs>
          <w:tab w:val="left" w:pos="2792"/>
        </w:tabs>
        <w:jc w:val="center"/>
      </w:pPr>
      <w:r w:rsidRPr="00883E0B">
        <w:rPr>
          <w:rFonts w:ascii="Calibri" w:hAnsi="Calibri"/>
          <w:b/>
          <w:i/>
          <w:sz w:val="22"/>
        </w:rPr>
        <w:t>Fuente: CNMC</w:t>
      </w:r>
    </w:p>
    <w:p w14:paraId="078C27D5" w14:textId="77777777" w:rsidR="00BC7608" w:rsidRDefault="00BC7608" w:rsidP="00FB3BDD">
      <w:pPr>
        <w:jc w:val="both"/>
        <w:rPr>
          <w:sz w:val="20"/>
        </w:rPr>
      </w:pPr>
    </w:p>
    <w:p w14:paraId="12B67A5A" w14:textId="77777777" w:rsidR="00B4101D" w:rsidRDefault="00B4101D" w:rsidP="0062432B">
      <w:pPr>
        <w:ind w:left="-851" w:right="-568"/>
        <w:jc w:val="center"/>
        <w:rPr>
          <w:rFonts w:ascii="Calibri" w:hAnsi="Calibri"/>
          <w:b/>
          <w:i/>
        </w:rPr>
      </w:pPr>
    </w:p>
    <w:p w14:paraId="4A2A4442" w14:textId="5D10C4B1" w:rsidR="004E71E0" w:rsidRDefault="004E71E0" w:rsidP="0062432B">
      <w:pPr>
        <w:ind w:left="-851" w:right="-568"/>
        <w:jc w:val="center"/>
        <w:rPr>
          <w:rFonts w:ascii="Calibri" w:hAnsi="Calibri"/>
          <w:b/>
          <w:i/>
        </w:rPr>
      </w:pPr>
    </w:p>
    <w:p w14:paraId="44A20BCF" w14:textId="77777777" w:rsidR="00624D43" w:rsidRDefault="00624D43" w:rsidP="00EE42D1">
      <w:pPr>
        <w:tabs>
          <w:tab w:val="left" w:pos="2792"/>
        </w:tabs>
        <w:rPr>
          <w:sz w:val="20"/>
        </w:rPr>
      </w:pPr>
    </w:p>
    <w:p w14:paraId="17ABEBE7" w14:textId="77777777" w:rsidR="00624D43" w:rsidRDefault="00624D43" w:rsidP="00E53EC3">
      <w:pPr>
        <w:tabs>
          <w:tab w:val="left" w:pos="2792"/>
        </w:tabs>
        <w:jc w:val="center"/>
        <w:rPr>
          <w:sz w:val="20"/>
        </w:rPr>
      </w:pPr>
    </w:p>
    <w:p w14:paraId="08D545A1" w14:textId="53061429" w:rsidR="004E71E0" w:rsidRDefault="003B0A8E" w:rsidP="00E53EC3">
      <w:pPr>
        <w:tabs>
          <w:tab w:val="left" w:pos="2792"/>
        </w:tabs>
        <w:jc w:val="center"/>
        <w:rPr>
          <w:sz w:val="20"/>
        </w:rPr>
      </w:pPr>
      <w:r w:rsidRPr="003B0A8E">
        <w:rPr>
          <w:noProof/>
        </w:rPr>
        <w:lastRenderedPageBreak/>
        <w:drawing>
          <wp:inline distT="0" distB="0" distL="0" distR="0" wp14:anchorId="2B405039" wp14:editId="048398D7">
            <wp:extent cx="4844956" cy="613835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4456" cy="61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98AF7" w14:textId="77777777" w:rsidR="005B6878" w:rsidRDefault="005B6878" w:rsidP="0006061B">
      <w:pPr>
        <w:tabs>
          <w:tab w:val="left" w:pos="2792"/>
        </w:tabs>
        <w:rPr>
          <w:sz w:val="20"/>
        </w:rPr>
      </w:pPr>
    </w:p>
    <w:p w14:paraId="5ABDD245" w14:textId="77777777" w:rsidR="003B0A8E" w:rsidRPr="00883E0B" w:rsidRDefault="003B0A8E" w:rsidP="003B0A8E">
      <w:pPr>
        <w:ind w:left="-851" w:right="-568"/>
        <w:jc w:val="center"/>
        <w:rPr>
          <w:rFonts w:ascii="Calibri" w:hAnsi="Calibri"/>
          <w:b/>
          <w:i/>
          <w:sz w:val="22"/>
        </w:rPr>
      </w:pPr>
      <w:r w:rsidRPr="00883E0B">
        <w:rPr>
          <w:rFonts w:ascii="Calibri" w:hAnsi="Calibri"/>
          <w:b/>
          <w:i/>
          <w:sz w:val="22"/>
        </w:rPr>
        <w:t xml:space="preserve">Liquidación provisional </w:t>
      </w:r>
      <w:r>
        <w:rPr>
          <w:rFonts w:ascii="Calibri" w:hAnsi="Calibri"/>
          <w:b/>
          <w:i/>
          <w:sz w:val="22"/>
        </w:rPr>
        <w:t>2/18</w:t>
      </w:r>
    </w:p>
    <w:p w14:paraId="3F388CE3" w14:textId="77777777" w:rsidR="003B0A8E" w:rsidRPr="00E77E21" w:rsidRDefault="003B0A8E" w:rsidP="003B0A8E">
      <w:pPr>
        <w:tabs>
          <w:tab w:val="left" w:pos="2792"/>
        </w:tabs>
        <w:jc w:val="center"/>
      </w:pPr>
      <w:r w:rsidRPr="00883E0B">
        <w:rPr>
          <w:rFonts w:ascii="Calibri" w:hAnsi="Calibri"/>
          <w:b/>
          <w:i/>
          <w:sz w:val="22"/>
        </w:rPr>
        <w:t>Fuente: CNMC</w:t>
      </w:r>
    </w:p>
    <w:p w14:paraId="46855285" w14:textId="77777777" w:rsidR="005B6878" w:rsidRDefault="005B6878" w:rsidP="00E53EC3">
      <w:pPr>
        <w:tabs>
          <w:tab w:val="left" w:pos="2792"/>
        </w:tabs>
        <w:jc w:val="center"/>
        <w:rPr>
          <w:sz w:val="20"/>
        </w:rPr>
      </w:pPr>
    </w:p>
    <w:p w14:paraId="35AC3823" w14:textId="2F599AA2" w:rsidR="00E53EC3" w:rsidRDefault="003B0A8E" w:rsidP="004862B3">
      <w:pPr>
        <w:ind w:right="-291"/>
        <w:jc w:val="center"/>
        <w:rPr>
          <w:noProof/>
        </w:rPr>
      </w:pPr>
      <w:r w:rsidRPr="003B0A8E">
        <w:rPr>
          <w:noProof/>
        </w:rPr>
        <w:lastRenderedPageBreak/>
        <w:drawing>
          <wp:inline distT="0" distB="0" distL="0" distR="0" wp14:anchorId="1B8E067B" wp14:editId="329B570E">
            <wp:extent cx="5019675" cy="25622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2460" w14:textId="77777777" w:rsidR="004E71E0" w:rsidRDefault="004E71E0" w:rsidP="00883E0B">
      <w:pPr>
        <w:ind w:left="-851" w:right="-568"/>
        <w:jc w:val="center"/>
        <w:rPr>
          <w:rFonts w:ascii="Calibri" w:hAnsi="Calibri"/>
          <w:b/>
          <w:i/>
          <w:sz w:val="22"/>
        </w:rPr>
      </w:pPr>
    </w:p>
    <w:p w14:paraId="59F711D4" w14:textId="78D9D001" w:rsidR="00883E0B" w:rsidRPr="00883E0B" w:rsidRDefault="00883E0B" w:rsidP="00883E0B">
      <w:pPr>
        <w:ind w:left="-851" w:right="-568"/>
        <w:jc w:val="center"/>
        <w:rPr>
          <w:rFonts w:ascii="Calibri" w:hAnsi="Calibri"/>
          <w:b/>
          <w:i/>
          <w:sz w:val="22"/>
        </w:rPr>
      </w:pPr>
      <w:r w:rsidRPr="00883E0B">
        <w:rPr>
          <w:rFonts w:ascii="Calibri" w:hAnsi="Calibri"/>
          <w:b/>
          <w:i/>
          <w:sz w:val="22"/>
        </w:rPr>
        <w:t xml:space="preserve">Liquidación provisional </w:t>
      </w:r>
      <w:r w:rsidR="003B0A8E">
        <w:rPr>
          <w:rFonts w:ascii="Calibri" w:hAnsi="Calibri"/>
          <w:b/>
          <w:i/>
          <w:sz w:val="22"/>
        </w:rPr>
        <w:t>2</w:t>
      </w:r>
      <w:r w:rsidR="003A5FD8">
        <w:rPr>
          <w:rFonts w:ascii="Calibri" w:hAnsi="Calibri"/>
          <w:b/>
          <w:i/>
          <w:sz w:val="22"/>
        </w:rPr>
        <w:t>/1</w:t>
      </w:r>
      <w:r w:rsidR="00302BC0">
        <w:rPr>
          <w:rFonts w:ascii="Calibri" w:hAnsi="Calibri"/>
          <w:b/>
          <w:i/>
          <w:sz w:val="22"/>
        </w:rPr>
        <w:t>8</w:t>
      </w:r>
    </w:p>
    <w:p w14:paraId="52F8E6E3" w14:textId="628B781F" w:rsidR="00883E0B" w:rsidRPr="00E77E21" w:rsidRDefault="00883E0B" w:rsidP="005B6878">
      <w:pPr>
        <w:tabs>
          <w:tab w:val="left" w:pos="2792"/>
        </w:tabs>
        <w:jc w:val="center"/>
      </w:pPr>
      <w:r w:rsidRPr="00883E0B">
        <w:rPr>
          <w:rFonts w:ascii="Calibri" w:hAnsi="Calibri"/>
          <w:b/>
          <w:i/>
          <w:sz w:val="22"/>
        </w:rPr>
        <w:t>Fuente: CNMC</w:t>
      </w:r>
    </w:p>
    <w:sectPr w:rsidR="00883E0B" w:rsidRPr="00E77E21" w:rsidSect="00BC7608">
      <w:headerReference w:type="default" r:id="rId13"/>
      <w:footerReference w:type="default" r:id="rId14"/>
      <w:pgSz w:w="11900" w:h="16840"/>
      <w:pgMar w:top="2127" w:right="1701" w:bottom="212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3E80" w14:textId="77777777" w:rsidR="00B235DA" w:rsidRDefault="00B235DA" w:rsidP="000E753C">
      <w:r>
        <w:separator/>
      </w:r>
    </w:p>
  </w:endnote>
  <w:endnote w:type="continuationSeparator" w:id="0">
    <w:p w14:paraId="17589FF3" w14:textId="77777777" w:rsidR="00B235DA" w:rsidRDefault="00B235DA" w:rsidP="000E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FAA1" w14:textId="6B4A4318" w:rsidR="00F61858" w:rsidRDefault="009768AA">
    <w:pPr>
      <w:pStyle w:val="Piedepgin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5A35241" wp14:editId="2D0C6D45">
          <wp:simplePos x="0" y="0"/>
          <wp:positionH relativeFrom="margin">
            <wp:posOffset>4517390</wp:posOffset>
          </wp:positionH>
          <wp:positionV relativeFrom="margin">
            <wp:posOffset>7962265</wp:posOffset>
          </wp:positionV>
          <wp:extent cx="1531620" cy="1534160"/>
          <wp:effectExtent l="0" t="0" r="0" b="889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15:CEOE:Publicaciones finales:Publicaciones Internas:pdf:jpg:ceoe_publicaciones_internas_ 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05" t="38706" r="10558" b="46958"/>
                  <a:stretch/>
                </pic:blipFill>
                <pic:spPr bwMode="auto">
                  <a:xfrm>
                    <a:off x="0" y="0"/>
                    <a:ext cx="153162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E0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6A108F" wp14:editId="76BDCC49">
              <wp:simplePos x="0" y="0"/>
              <wp:positionH relativeFrom="column">
                <wp:posOffset>2095500</wp:posOffset>
              </wp:positionH>
              <wp:positionV relativeFrom="paragraph">
                <wp:posOffset>-65305</wp:posOffset>
              </wp:positionV>
              <wp:extent cx="2171700" cy="3429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A2AC0" w14:textId="77777777" w:rsidR="00883E0B" w:rsidRPr="00A32517" w:rsidRDefault="00883E0B" w:rsidP="00883E0B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6666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666666"/>
                              <w:sz w:val="22"/>
                              <w:szCs w:val="22"/>
                            </w:rPr>
                            <w:t>Comisión de Industria y Energía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A108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65pt;margin-top:-5.15pt;width:171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" filled="f" stroked="f">
              <v:textbox>
                <w:txbxContent>
                  <w:p w14:paraId="7B7A2AC0" w14:textId="77777777" w:rsidR="00883E0B" w:rsidRPr="00A32517" w:rsidRDefault="00883E0B" w:rsidP="00883E0B">
                    <w:pPr>
                      <w:jc w:val="center"/>
                      <w:rPr>
                        <w:rFonts w:ascii="Calibri" w:hAnsi="Calibri"/>
                        <w:i/>
                        <w:color w:val="666666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i/>
                        <w:color w:val="666666"/>
                        <w:sz w:val="22"/>
                        <w:szCs w:val="22"/>
                      </w:rPr>
                      <w:t>Comisión de Industria y Energía</w:t>
                    </w:r>
                  </w:p>
                </w:txbxContent>
              </v:textbox>
            </v:shape>
          </w:pict>
        </mc:Fallback>
      </mc:AlternateContent>
    </w:r>
    <w:r w:rsidR="00B860E9">
      <w:rPr>
        <w:noProof/>
      </w:rPr>
      <w:drawing>
        <wp:inline distT="0" distB="0" distL="0" distR="0" wp14:anchorId="0E0F3016" wp14:editId="74B540AB">
          <wp:extent cx="1162050" cy="290513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90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6BA42D" w14:textId="35BEC74A" w:rsidR="00A32517" w:rsidRDefault="00846497">
    <w:pPr>
      <w:pStyle w:val="Piedepgina"/>
    </w:pPr>
    <w:r w:rsidRPr="0084649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66B515" wp14:editId="6081C593">
              <wp:simplePos x="0" y="0"/>
              <wp:positionH relativeFrom="column">
                <wp:posOffset>5681980</wp:posOffset>
              </wp:positionH>
              <wp:positionV relativeFrom="paragraph">
                <wp:posOffset>-71120</wp:posOffset>
              </wp:positionV>
              <wp:extent cx="426720" cy="243840"/>
              <wp:effectExtent l="0" t="0" r="0" b="381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22FA4" w14:textId="77777777" w:rsidR="00846497" w:rsidRPr="002443E6" w:rsidRDefault="00846497" w:rsidP="00846497">
                          <w:pP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018F2">
                            <w:rPr>
                              <w:rFonts w:asciiTheme="majorHAnsi" w:hAnsiTheme="majorHAns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6B515" id="_x0000_s1030" type="#_x0000_t202" style="position:absolute;margin-left:447.4pt;margin-top:-5.6pt;width:33.6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" stroked="f">
              <v:textbox>
                <w:txbxContent>
                  <w:p w14:paraId="26322FA4" w14:textId="77777777" w:rsidR="00846497" w:rsidRPr="002443E6" w:rsidRDefault="00846497" w:rsidP="00846497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\* MERGEFORMAT</w:instrText>
                    </w: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="00B018F2">
                      <w:rPr>
                        <w:rFonts w:asciiTheme="majorHAnsi" w:hAnsiTheme="majorHAnsi"/>
                        <w:noProof/>
                        <w:sz w:val="22"/>
                        <w:szCs w:val="22"/>
                      </w:rPr>
                      <w:t>4</w:t>
                    </w: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55453" w14:textId="77777777" w:rsidR="00B235DA" w:rsidRDefault="00B235DA" w:rsidP="000E753C">
      <w:r>
        <w:separator/>
      </w:r>
    </w:p>
  </w:footnote>
  <w:footnote w:type="continuationSeparator" w:id="0">
    <w:p w14:paraId="19BD271B" w14:textId="77777777" w:rsidR="00B235DA" w:rsidRDefault="00B235DA" w:rsidP="000E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A761" w14:textId="5FAC7EA5" w:rsidR="00F61858" w:rsidRDefault="00F61858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7455" behindDoc="1" locked="0" layoutInCell="1" allowOverlap="1" wp14:anchorId="5C735C29" wp14:editId="29364E84">
          <wp:simplePos x="0" y="0"/>
          <wp:positionH relativeFrom="margin">
            <wp:posOffset>2645410</wp:posOffset>
          </wp:positionH>
          <wp:positionV relativeFrom="margin">
            <wp:posOffset>-1332230</wp:posOffset>
          </wp:positionV>
          <wp:extent cx="1278890" cy="123952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15:CEOE:Publicaciones finales:Publicaciones Internas:pdf:jpg:ceoe_publicaciones_internas_ 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02" t="20322" r="32614" b="65910"/>
                  <a:stretch/>
                </pic:blipFill>
                <pic:spPr bwMode="auto">
                  <a:xfrm>
                    <a:off x="0" y="0"/>
                    <a:ext cx="127889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91410" w14:textId="3C26643D" w:rsidR="00F61858" w:rsidRDefault="00F61858">
    <w:pPr>
      <w:pStyle w:val="Encabezado"/>
      <w:rPr>
        <w:noProof/>
      </w:rPr>
    </w:pPr>
  </w:p>
  <w:p w14:paraId="3BF46EA2" w14:textId="1189C617" w:rsidR="00F61858" w:rsidRDefault="00F61858">
    <w:pPr>
      <w:pStyle w:val="Encabezado"/>
    </w:pPr>
  </w:p>
  <w:p w14:paraId="2D11F997" w14:textId="6A530B72" w:rsidR="00A32517" w:rsidRDefault="00A32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092"/>
    <w:multiLevelType w:val="hybridMultilevel"/>
    <w:tmpl w:val="A8869AA0"/>
    <w:lvl w:ilvl="0" w:tplc="6E869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053"/>
    <w:multiLevelType w:val="hybridMultilevel"/>
    <w:tmpl w:val="6F3E35E0"/>
    <w:lvl w:ilvl="0" w:tplc="040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" w15:restartNumberingAfterBreak="0">
    <w:nsid w:val="2AEF4D50"/>
    <w:multiLevelType w:val="hybridMultilevel"/>
    <w:tmpl w:val="1E946D6C"/>
    <w:lvl w:ilvl="0" w:tplc="625C01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C6797"/>
    <w:multiLevelType w:val="hybridMultilevel"/>
    <w:tmpl w:val="121E451C"/>
    <w:lvl w:ilvl="0" w:tplc="97AC5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404BA"/>
    <w:multiLevelType w:val="hybridMultilevel"/>
    <w:tmpl w:val="1EDAD656"/>
    <w:lvl w:ilvl="0" w:tplc="47A0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6507E"/>
    <w:multiLevelType w:val="hybridMultilevel"/>
    <w:tmpl w:val="0B1EE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79"/>
    <w:rsid w:val="00014EAB"/>
    <w:rsid w:val="000315AC"/>
    <w:rsid w:val="0005178B"/>
    <w:rsid w:val="0005370B"/>
    <w:rsid w:val="0006061B"/>
    <w:rsid w:val="00063BDD"/>
    <w:rsid w:val="000751F4"/>
    <w:rsid w:val="000A60A8"/>
    <w:rsid w:val="000D4ECD"/>
    <w:rsid w:val="000E753C"/>
    <w:rsid w:val="001161AB"/>
    <w:rsid w:val="0012748A"/>
    <w:rsid w:val="00182005"/>
    <w:rsid w:val="001971C4"/>
    <w:rsid w:val="001A3627"/>
    <w:rsid w:val="001C6D43"/>
    <w:rsid w:val="001D0AD5"/>
    <w:rsid w:val="001F005E"/>
    <w:rsid w:val="00203107"/>
    <w:rsid w:val="00212696"/>
    <w:rsid w:val="0022506C"/>
    <w:rsid w:val="002443E6"/>
    <w:rsid w:val="00251314"/>
    <w:rsid w:val="00293593"/>
    <w:rsid w:val="002A2E5B"/>
    <w:rsid w:val="002C7AE5"/>
    <w:rsid w:val="002D0FD5"/>
    <w:rsid w:val="002E514D"/>
    <w:rsid w:val="002E7A6D"/>
    <w:rsid w:val="002F5AFA"/>
    <w:rsid w:val="00300C65"/>
    <w:rsid w:val="00302BC0"/>
    <w:rsid w:val="00306623"/>
    <w:rsid w:val="0031156B"/>
    <w:rsid w:val="00323197"/>
    <w:rsid w:val="0035753D"/>
    <w:rsid w:val="00374439"/>
    <w:rsid w:val="00385294"/>
    <w:rsid w:val="003A5FD8"/>
    <w:rsid w:val="003B0A8E"/>
    <w:rsid w:val="003E1A97"/>
    <w:rsid w:val="00400B8F"/>
    <w:rsid w:val="00406C39"/>
    <w:rsid w:val="004205F2"/>
    <w:rsid w:val="00464E5D"/>
    <w:rsid w:val="00484933"/>
    <w:rsid w:val="004862B3"/>
    <w:rsid w:val="004B3238"/>
    <w:rsid w:val="004B49BA"/>
    <w:rsid w:val="004B6031"/>
    <w:rsid w:val="004C79FF"/>
    <w:rsid w:val="004E71E0"/>
    <w:rsid w:val="005317D0"/>
    <w:rsid w:val="00556759"/>
    <w:rsid w:val="0055743A"/>
    <w:rsid w:val="00562C44"/>
    <w:rsid w:val="005A61C5"/>
    <w:rsid w:val="005B5330"/>
    <w:rsid w:val="005B6878"/>
    <w:rsid w:val="005C466E"/>
    <w:rsid w:val="005C7273"/>
    <w:rsid w:val="005E1E45"/>
    <w:rsid w:val="005E5E38"/>
    <w:rsid w:val="005E6E7A"/>
    <w:rsid w:val="005E76B2"/>
    <w:rsid w:val="0062432B"/>
    <w:rsid w:val="00624D43"/>
    <w:rsid w:val="00652098"/>
    <w:rsid w:val="006568CC"/>
    <w:rsid w:val="0067499A"/>
    <w:rsid w:val="006866A2"/>
    <w:rsid w:val="006B3534"/>
    <w:rsid w:val="006B6274"/>
    <w:rsid w:val="006E157B"/>
    <w:rsid w:val="00700643"/>
    <w:rsid w:val="0070111C"/>
    <w:rsid w:val="00731552"/>
    <w:rsid w:val="00733A99"/>
    <w:rsid w:val="00742175"/>
    <w:rsid w:val="007567BB"/>
    <w:rsid w:val="007828CD"/>
    <w:rsid w:val="0079580B"/>
    <w:rsid w:val="00800DED"/>
    <w:rsid w:val="0082109E"/>
    <w:rsid w:val="0084061C"/>
    <w:rsid w:val="00846497"/>
    <w:rsid w:val="00874187"/>
    <w:rsid w:val="00883E0B"/>
    <w:rsid w:val="008919AD"/>
    <w:rsid w:val="008A08C3"/>
    <w:rsid w:val="008A4DA0"/>
    <w:rsid w:val="008E1E08"/>
    <w:rsid w:val="00944736"/>
    <w:rsid w:val="009713FF"/>
    <w:rsid w:val="009768AA"/>
    <w:rsid w:val="009805CB"/>
    <w:rsid w:val="009C2864"/>
    <w:rsid w:val="009C776D"/>
    <w:rsid w:val="009D1390"/>
    <w:rsid w:val="009D740B"/>
    <w:rsid w:val="009E024D"/>
    <w:rsid w:val="009E4844"/>
    <w:rsid w:val="009F0760"/>
    <w:rsid w:val="00A04FEE"/>
    <w:rsid w:val="00A16AF7"/>
    <w:rsid w:val="00A211B6"/>
    <w:rsid w:val="00A32517"/>
    <w:rsid w:val="00A52DA5"/>
    <w:rsid w:val="00A97648"/>
    <w:rsid w:val="00AB0331"/>
    <w:rsid w:val="00B018F2"/>
    <w:rsid w:val="00B13179"/>
    <w:rsid w:val="00B16B42"/>
    <w:rsid w:val="00B235DA"/>
    <w:rsid w:val="00B24D02"/>
    <w:rsid w:val="00B4101D"/>
    <w:rsid w:val="00B47479"/>
    <w:rsid w:val="00B60B65"/>
    <w:rsid w:val="00B860E9"/>
    <w:rsid w:val="00B865F3"/>
    <w:rsid w:val="00BA2648"/>
    <w:rsid w:val="00BA50CB"/>
    <w:rsid w:val="00BA5FC8"/>
    <w:rsid w:val="00BA6B16"/>
    <w:rsid w:val="00BC6B3E"/>
    <w:rsid w:val="00BC7608"/>
    <w:rsid w:val="00BD5D7B"/>
    <w:rsid w:val="00C0427A"/>
    <w:rsid w:val="00C1697F"/>
    <w:rsid w:val="00C24706"/>
    <w:rsid w:val="00C34032"/>
    <w:rsid w:val="00C465D8"/>
    <w:rsid w:val="00C567B3"/>
    <w:rsid w:val="00C62CBF"/>
    <w:rsid w:val="00C80E36"/>
    <w:rsid w:val="00CA2F5B"/>
    <w:rsid w:val="00CA3BC6"/>
    <w:rsid w:val="00CE6E6D"/>
    <w:rsid w:val="00CF67FD"/>
    <w:rsid w:val="00D27CA0"/>
    <w:rsid w:val="00D41F06"/>
    <w:rsid w:val="00D809EA"/>
    <w:rsid w:val="00D90B63"/>
    <w:rsid w:val="00DC3059"/>
    <w:rsid w:val="00DC3B00"/>
    <w:rsid w:val="00E0086B"/>
    <w:rsid w:val="00E1539F"/>
    <w:rsid w:val="00E161DD"/>
    <w:rsid w:val="00E53EC3"/>
    <w:rsid w:val="00E5666A"/>
    <w:rsid w:val="00E70235"/>
    <w:rsid w:val="00E77E21"/>
    <w:rsid w:val="00EA4F97"/>
    <w:rsid w:val="00EB72E4"/>
    <w:rsid w:val="00EE42D1"/>
    <w:rsid w:val="00EE54DF"/>
    <w:rsid w:val="00EE7B11"/>
    <w:rsid w:val="00F04712"/>
    <w:rsid w:val="00F21CFC"/>
    <w:rsid w:val="00F31217"/>
    <w:rsid w:val="00F61858"/>
    <w:rsid w:val="00F727BD"/>
    <w:rsid w:val="00FB3BDD"/>
    <w:rsid w:val="00FC1B30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DBC54"/>
  <w14:defaultImageDpi w14:val="300"/>
  <w15:docId w15:val="{2C0ED1E0-5ACB-4949-BAD6-DB001EFC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47479"/>
    <w:pPr>
      <w:widowControl w:val="0"/>
      <w:ind w:left="20"/>
    </w:pPr>
    <w:rPr>
      <w:rFonts w:ascii="Calibri" w:eastAsia="Calibri" w:hAnsi="Calibri"/>
      <w:sz w:val="74"/>
      <w:szCs w:val="7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7479"/>
    <w:rPr>
      <w:rFonts w:ascii="Calibri" w:eastAsia="Calibri" w:hAnsi="Calibri"/>
      <w:sz w:val="74"/>
      <w:szCs w:val="7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4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47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75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53C"/>
  </w:style>
  <w:style w:type="paragraph" w:styleId="Piedepgina">
    <w:name w:val="footer"/>
    <w:basedOn w:val="Normal"/>
    <w:link w:val="PiedepginaCar"/>
    <w:uiPriority w:val="99"/>
    <w:unhideWhenUsed/>
    <w:rsid w:val="000E75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53C"/>
  </w:style>
  <w:style w:type="paragraph" w:styleId="Prrafodelista">
    <w:name w:val="List Paragraph"/>
    <w:basedOn w:val="Normal"/>
    <w:uiPriority w:val="34"/>
    <w:qFormat/>
    <w:rsid w:val="00E53EC3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53E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3EC3"/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6B353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nmc.es/sites/default/files/1987649_9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Rosalía Alonso</dc:creator>
  <cp:lastModifiedBy>Albertos García, Iván</cp:lastModifiedBy>
  <cp:revision>2</cp:revision>
  <dcterms:created xsi:type="dcterms:W3CDTF">2018-05-04T07:38:00Z</dcterms:created>
  <dcterms:modified xsi:type="dcterms:W3CDTF">2018-05-04T07:38:00Z</dcterms:modified>
</cp:coreProperties>
</file>